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0" w:type="dxa"/>
        <w:tblInd w:w="-106" w:type="dxa"/>
        <w:tblLayout w:type="fixed"/>
        <w:tblLook w:val="0000"/>
      </w:tblPr>
      <w:tblGrid>
        <w:gridCol w:w="3456"/>
        <w:gridCol w:w="5472"/>
        <w:gridCol w:w="12"/>
      </w:tblGrid>
      <w:tr w:rsidR="006E5829">
        <w:tc>
          <w:tcPr>
            <w:tcW w:w="3456" w:type="dxa"/>
            <w:tcBorders>
              <w:bottom w:val="single" w:sz="18" w:space="0" w:color="auto"/>
            </w:tcBorders>
          </w:tcPr>
          <w:p w:rsidR="006E5829" w:rsidRDefault="006E5829">
            <w:pPr>
              <w:pStyle w:val="Infotext"/>
              <w:rPr>
                <w:rFonts w:ascii="Arial Black" w:hAnsi="Arial Black" w:cs="Arial Black"/>
                <w:sz w:val="36"/>
                <w:szCs w:val="36"/>
              </w:rPr>
            </w:pPr>
            <w:r>
              <w:rPr>
                <w:rFonts w:ascii="Arial Black" w:hAnsi="Arial Black" w:cs="Arial Black"/>
                <w:sz w:val="36"/>
                <w:szCs w:val="36"/>
              </w:rPr>
              <w:t>REPORT FOR:</w:t>
            </w:r>
          </w:p>
          <w:p w:rsidR="006E5829" w:rsidRDefault="006E5829">
            <w:pPr>
              <w:pStyle w:val="Infotext"/>
              <w:rPr>
                <w:rFonts w:ascii="Arial Black" w:hAnsi="Arial Black" w:cs="Arial Black"/>
                <w:sz w:val="36"/>
                <w:szCs w:val="36"/>
              </w:rPr>
            </w:pPr>
          </w:p>
        </w:tc>
        <w:tc>
          <w:tcPr>
            <w:tcW w:w="5484" w:type="dxa"/>
            <w:gridSpan w:val="2"/>
            <w:tcBorders>
              <w:bottom w:val="single" w:sz="18" w:space="0" w:color="auto"/>
            </w:tcBorders>
          </w:tcPr>
          <w:p w:rsidR="006E5829" w:rsidRDefault="006E5829">
            <w:pPr>
              <w:rPr>
                <w:rFonts w:ascii="Arial Black" w:hAnsi="Arial Black" w:cs="Arial Black"/>
                <w:sz w:val="36"/>
                <w:szCs w:val="36"/>
              </w:rPr>
            </w:pPr>
            <w:r>
              <w:rPr>
                <w:rFonts w:ascii="Arial Black" w:hAnsi="Arial Black" w:cs="Arial Black"/>
                <w:sz w:val="36"/>
                <w:szCs w:val="36"/>
              </w:rPr>
              <w:t>CABINET</w:t>
            </w:r>
          </w:p>
        </w:tc>
      </w:tr>
      <w:tr w:rsidR="006E5829">
        <w:tc>
          <w:tcPr>
            <w:tcW w:w="3456" w:type="dxa"/>
            <w:tcBorders>
              <w:top w:val="single" w:sz="18" w:space="0" w:color="auto"/>
            </w:tcBorders>
          </w:tcPr>
          <w:p w:rsidR="006E5829" w:rsidRDefault="006E5829">
            <w:pPr>
              <w:pStyle w:val="Infotext"/>
              <w:rPr>
                <w:rFonts w:ascii="Arial Black" w:hAnsi="Arial Black" w:cs="Arial Black"/>
              </w:rPr>
            </w:pPr>
            <w:r>
              <w:rPr>
                <w:rFonts w:ascii="Arial Black" w:hAnsi="Arial Black" w:cs="Arial Black"/>
              </w:rPr>
              <w:t>Date:</w:t>
            </w:r>
          </w:p>
          <w:p w:rsidR="006E5829" w:rsidRDefault="006E5829">
            <w:pPr>
              <w:pStyle w:val="Infotext"/>
              <w:rPr>
                <w:rFonts w:ascii="Arial Black" w:hAnsi="Arial Black" w:cs="Arial Black"/>
              </w:rPr>
            </w:pPr>
          </w:p>
        </w:tc>
        <w:tc>
          <w:tcPr>
            <w:tcW w:w="5484" w:type="dxa"/>
            <w:gridSpan w:val="2"/>
            <w:tcBorders>
              <w:top w:val="single" w:sz="18" w:space="0" w:color="auto"/>
            </w:tcBorders>
          </w:tcPr>
          <w:p w:rsidR="006E5829" w:rsidRDefault="006E5829" w:rsidP="003B3607">
            <w:r>
              <w:t>17 June2015</w:t>
            </w:r>
          </w:p>
          <w:p w:rsidR="006E5829" w:rsidRPr="00EF3848" w:rsidRDefault="006E5829" w:rsidP="003B3607">
            <w:pPr>
              <w:rPr>
                <w:b/>
                <w:bCs/>
              </w:rPr>
            </w:pPr>
          </w:p>
        </w:tc>
      </w:tr>
      <w:tr w:rsidR="006E5829">
        <w:tc>
          <w:tcPr>
            <w:tcW w:w="3456" w:type="dxa"/>
          </w:tcPr>
          <w:p w:rsidR="006E5829" w:rsidRDefault="006E5829">
            <w:pPr>
              <w:pStyle w:val="Infotext"/>
              <w:rPr>
                <w:rFonts w:ascii="Arial Black" w:hAnsi="Arial Black" w:cs="Arial Black"/>
              </w:rPr>
            </w:pPr>
            <w:r>
              <w:rPr>
                <w:rFonts w:ascii="Arial Black" w:hAnsi="Arial Black" w:cs="Arial Black"/>
              </w:rPr>
              <w:t>Subject:</w:t>
            </w:r>
          </w:p>
          <w:p w:rsidR="006E5829" w:rsidRDefault="006E5829">
            <w:pPr>
              <w:pStyle w:val="Infotext"/>
              <w:rPr>
                <w:rFonts w:ascii="Arial Black" w:hAnsi="Arial Black" w:cs="Arial Black"/>
              </w:rPr>
            </w:pPr>
          </w:p>
        </w:tc>
        <w:tc>
          <w:tcPr>
            <w:tcW w:w="5484" w:type="dxa"/>
            <w:gridSpan w:val="2"/>
          </w:tcPr>
          <w:p w:rsidR="006E5829" w:rsidRDefault="006E5829" w:rsidP="00BD50B5">
            <w:r>
              <w:t>Revenue and Capital Outturn 2014-15</w:t>
            </w:r>
          </w:p>
        </w:tc>
      </w:tr>
      <w:tr w:rsidR="006E5829">
        <w:tc>
          <w:tcPr>
            <w:tcW w:w="3456" w:type="dxa"/>
          </w:tcPr>
          <w:p w:rsidR="006E5829" w:rsidRDefault="006E5829">
            <w:pPr>
              <w:pStyle w:val="Infotext"/>
              <w:rPr>
                <w:rFonts w:ascii="Arial Black" w:hAnsi="Arial Black" w:cs="Arial Black"/>
              </w:rPr>
            </w:pPr>
            <w:r>
              <w:rPr>
                <w:rFonts w:ascii="Arial Black" w:hAnsi="Arial Black" w:cs="Arial Black"/>
              </w:rPr>
              <w:t xml:space="preserve">Key Decision:  </w:t>
            </w:r>
          </w:p>
        </w:tc>
        <w:tc>
          <w:tcPr>
            <w:tcW w:w="5484" w:type="dxa"/>
            <w:gridSpan w:val="2"/>
          </w:tcPr>
          <w:p w:rsidR="006E5829" w:rsidRDefault="006E5829">
            <w:r>
              <w:t>Yes</w:t>
            </w:r>
          </w:p>
          <w:p w:rsidR="006E5829" w:rsidRDefault="006E5829"/>
          <w:p w:rsidR="006E5829" w:rsidRDefault="006E5829"/>
        </w:tc>
      </w:tr>
      <w:tr w:rsidR="006E5829">
        <w:tc>
          <w:tcPr>
            <w:tcW w:w="3456" w:type="dxa"/>
          </w:tcPr>
          <w:p w:rsidR="006E5829" w:rsidRDefault="006E5829">
            <w:pPr>
              <w:pStyle w:val="Infotext"/>
              <w:rPr>
                <w:rFonts w:ascii="Arial Black" w:hAnsi="Arial Black" w:cs="Arial Black"/>
              </w:rPr>
            </w:pPr>
            <w:r>
              <w:rPr>
                <w:rFonts w:ascii="Arial Black" w:hAnsi="Arial Black" w:cs="Arial Black"/>
              </w:rPr>
              <w:t>Responsible Officer:</w:t>
            </w:r>
          </w:p>
          <w:p w:rsidR="006E5829" w:rsidRDefault="006E5829">
            <w:pPr>
              <w:pStyle w:val="Infotext"/>
              <w:rPr>
                <w:rFonts w:ascii="Arial Black" w:hAnsi="Arial Black" w:cs="Arial Black"/>
              </w:rPr>
            </w:pPr>
          </w:p>
        </w:tc>
        <w:tc>
          <w:tcPr>
            <w:tcW w:w="5484" w:type="dxa"/>
            <w:gridSpan w:val="2"/>
          </w:tcPr>
          <w:p w:rsidR="006E5829" w:rsidRDefault="006E5829" w:rsidP="00484862">
            <w:r>
              <w:t xml:space="preserve">Dawn Calvert, Interim Director of Finance </w:t>
            </w:r>
          </w:p>
        </w:tc>
      </w:tr>
      <w:tr w:rsidR="006E5829">
        <w:tc>
          <w:tcPr>
            <w:tcW w:w="3456" w:type="dxa"/>
          </w:tcPr>
          <w:p w:rsidR="006E5829" w:rsidRDefault="006E5829">
            <w:pPr>
              <w:pStyle w:val="Infotext"/>
              <w:rPr>
                <w:rFonts w:ascii="Arial Black" w:hAnsi="Arial Black" w:cs="Arial Black"/>
              </w:rPr>
            </w:pPr>
            <w:r>
              <w:rPr>
                <w:rFonts w:ascii="Arial Black" w:hAnsi="Arial Black" w:cs="Arial Black"/>
              </w:rPr>
              <w:t>Portfolio Holder:</w:t>
            </w:r>
          </w:p>
          <w:p w:rsidR="006E5829" w:rsidRDefault="006E5829">
            <w:pPr>
              <w:pStyle w:val="Infotext"/>
              <w:rPr>
                <w:rFonts w:ascii="Arial Black" w:hAnsi="Arial Black" w:cs="Arial Black"/>
              </w:rPr>
            </w:pPr>
          </w:p>
        </w:tc>
        <w:tc>
          <w:tcPr>
            <w:tcW w:w="5484" w:type="dxa"/>
            <w:gridSpan w:val="2"/>
          </w:tcPr>
          <w:p w:rsidR="006E5829" w:rsidRDefault="006E5829">
            <w:r>
              <w:t>Councillor Sachin Shah, Portfolio Holder for Finance and Major Contracts</w:t>
            </w:r>
          </w:p>
        </w:tc>
      </w:tr>
      <w:tr w:rsidR="006E5829">
        <w:tc>
          <w:tcPr>
            <w:tcW w:w="3456" w:type="dxa"/>
          </w:tcPr>
          <w:p w:rsidR="006E5829" w:rsidRDefault="006E5829">
            <w:pPr>
              <w:pStyle w:val="Infotext"/>
              <w:rPr>
                <w:rFonts w:ascii="Arial Black" w:hAnsi="Arial Black" w:cs="Arial Black"/>
              </w:rPr>
            </w:pPr>
            <w:r>
              <w:rPr>
                <w:rFonts w:ascii="Arial Black" w:hAnsi="Arial Black" w:cs="Arial Black"/>
              </w:rPr>
              <w:t>Exempt:</w:t>
            </w:r>
          </w:p>
          <w:p w:rsidR="006E5829" w:rsidRDefault="006E5829">
            <w:pPr>
              <w:pStyle w:val="Infotext"/>
              <w:rPr>
                <w:rFonts w:ascii="Arial Black" w:hAnsi="Arial Black" w:cs="Arial Black"/>
              </w:rPr>
            </w:pPr>
          </w:p>
        </w:tc>
        <w:tc>
          <w:tcPr>
            <w:tcW w:w="5484" w:type="dxa"/>
            <w:gridSpan w:val="2"/>
          </w:tcPr>
          <w:p w:rsidR="006E5829" w:rsidRDefault="006E5829">
            <w:r>
              <w:t>No</w:t>
            </w:r>
          </w:p>
        </w:tc>
      </w:tr>
      <w:tr w:rsidR="006E5829">
        <w:tc>
          <w:tcPr>
            <w:tcW w:w="3456" w:type="dxa"/>
          </w:tcPr>
          <w:p w:rsidR="006E5829" w:rsidRDefault="006E5829">
            <w:pPr>
              <w:pStyle w:val="Infotext"/>
              <w:rPr>
                <w:rFonts w:ascii="Arial Black" w:hAnsi="Arial Black" w:cs="Arial Black"/>
              </w:rPr>
            </w:pPr>
            <w:r>
              <w:rPr>
                <w:rFonts w:ascii="Arial Black" w:hAnsi="Arial Black" w:cs="Arial Black"/>
              </w:rPr>
              <w:t>Decision subject to Call-in:</w:t>
            </w:r>
          </w:p>
          <w:p w:rsidR="006E5829" w:rsidRDefault="006E5829">
            <w:pPr>
              <w:pStyle w:val="Infotext"/>
              <w:rPr>
                <w:rFonts w:ascii="Arial Black" w:hAnsi="Arial Black" w:cs="Arial Black"/>
              </w:rPr>
            </w:pPr>
          </w:p>
        </w:tc>
        <w:tc>
          <w:tcPr>
            <w:tcW w:w="5484" w:type="dxa"/>
            <w:gridSpan w:val="2"/>
          </w:tcPr>
          <w:p w:rsidR="006E5829" w:rsidRDefault="006E5829">
            <w:r>
              <w:t>Yes</w:t>
            </w:r>
          </w:p>
        </w:tc>
      </w:tr>
      <w:tr w:rsidR="006E5829">
        <w:trPr>
          <w:gridAfter w:val="1"/>
          <w:wAfter w:w="12" w:type="dxa"/>
        </w:trPr>
        <w:tc>
          <w:tcPr>
            <w:tcW w:w="3456" w:type="dxa"/>
          </w:tcPr>
          <w:p w:rsidR="006E5829" w:rsidRDefault="006E5829" w:rsidP="0048119F">
            <w:pPr>
              <w:pStyle w:val="Infotext"/>
              <w:rPr>
                <w:rFonts w:ascii="Arial Black" w:hAnsi="Arial Black" w:cs="Arial Black"/>
              </w:rPr>
            </w:pPr>
            <w:r>
              <w:rPr>
                <w:rFonts w:ascii="Arial Black" w:hAnsi="Arial Black" w:cs="Arial Black"/>
              </w:rPr>
              <w:t>Wards affected:</w:t>
            </w:r>
          </w:p>
          <w:p w:rsidR="006E5829" w:rsidRPr="00C13A5F" w:rsidRDefault="006E5829" w:rsidP="0048119F">
            <w:pPr>
              <w:pStyle w:val="Infotext"/>
              <w:rPr>
                <w:rFonts w:ascii="Arial Black" w:hAnsi="Arial Black" w:cs="Arial Black"/>
              </w:rPr>
            </w:pPr>
          </w:p>
        </w:tc>
        <w:tc>
          <w:tcPr>
            <w:tcW w:w="5472" w:type="dxa"/>
          </w:tcPr>
          <w:p w:rsidR="006E5829" w:rsidRPr="00E06FC6" w:rsidRDefault="006E5829" w:rsidP="0048119F">
            <w:pPr>
              <w:pStyle w:val="Heading3"/>
              <w:rPr>
                <w:b w:val="0"/>
                <w:bCs w:val="0"/>
                <w:i w:val="0"/>
                <w:iCs w:val="0"/>
              </w:rPr>
            </w:pPr>
            <w:r>
              <w:rPr>
                <w:b w:val="0"/>
                <w:bCs w:val="0"/>
                <w:i w:val="0"/>
                <w:iCs w:val="0"/>
              </w:rPr>
              <w:t xml:space="preserve">All </w:t>
            </w:r>
          </w:p>
        </w:tc>
      </w:tr>
      <w:tr w:rsidR="006E5829">
        <w:tc>
          <w:tcPr>
            <w:tcW w:w="3456" w:type="dxa"/>
          </w:tcPr>
          <w:p w:rsidR="006E5829" w:rsidRDefault="006E5829">
            <w:pPr>
              <w:pStyle w:val="Infotext"/>
              <w:rPr>
                <w:rFonts w:ascii="Arial Black" w:hAnsi="Arial Black" w:cs="Arial Black"/>
              </w:rPr>
            </w:pPr>
            <w:r>
              <w:rPr>
                <w:rFonts w:ascii="Arial Black" w:hAnsi="Arial Black" w:cs="Arial Black"/>
              </w:rPr>
              <w:t>Enclosures:</w:t>
            </w:r>
          </w:p>
          <w:p w:rsidR="006E5829" w:rsidRDefault="006E5829">
            <w:pPr>
              <w:pStyle w:val="Infotext"/>
              <w:rPr>
                <w:rFonts w:ascii="Arial Black" w:hAnsi="Arial Black" w:cs="Arial Black"/>
              </w:rPr>
            </w:pPr>
          </w:p>
        </w:tc>
        <w:tc>
          <w:tcPr>
            <w:tcW w:w="5484" w:type="dxa"/>
            <w:gridSpan w:val="2"/>
          </w:tcPr>
          <w:p w:rsidR="006E5829" w:rsidRDefault="006E5829">
            <w:pPr>
              <w:ind w:left="1512" w:hanging="1512"/>
            </w:pPr>
            <w:r>
              <w:t>Appendix 1 - Revenue Directorates Summary</w:t>
            </w:r>
          </w:p>
          <w:p w:rsidR="006E5829" w:rsidRDefault="006E5829">
            <w:r>
              <w:t xml:space="preserve">Appendix 2 - Revenue Carry forward Schedule </w:t>
            </w:r>
          </w:p>
          <w:p w:rsidR="006E5829" w:rsidRDefault="006E5829">
            <w:r>
              <w:t>Appendix 3 – Capital Monitoring</w:t>
            </w:r>
          </w:p>
          <w:p w:rsidR="006E5829" w:rsidRDefault="006E5829">
            <w:r>
              <w:t>Appendix 4 – HRA Revenue Outturn</w:t>
            </w:r>
          </w:p>
          <w:p w:rsidR="006E5829" w:rsidRDefault="006E5829">
            <w:r>
              <w:t>Appendix 5 –Reserves Movements 2014/15</w:t>
            </w:r>
          </w:p>
        </w:tc>
      </w:tr>
    </w:tbl>
    <w:p w:rsidR="006E5829" w:rsidRDefault="006E5829">
      <w:pPr>
        <w:rPr>
          <w:color w:val="FF000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6E5829">
        <w:tc>
          <w:tcPr>
            <w:tcW w:w="8897" w:type="dxa"/>
            <w:tcBorders>
              <w:top w:val="nil"/>
              <w:left w:val="nil"/>
              <w:right w:val="nil"/>
            </w:tcBorders>
          </w:tcPr>
          <w:p w:rsidR="006E5829" w:rsidRDefault="006E5829" w:rsidP="003B5329">
            <w:pPr>
              <w:pStyle w:val="Heading1"/>
              <w:ind w:right="-480"/>
            </w:pPr>
            <w:r>
              <w:t>Section 1 – Summary and Recommendations</w:t>
            </w:r>
          </w:p>
          <w:p w:rsidR="006E5829" w:rsidRDefault="006E5829" w:rsidP="003B5329">
            <w:pPr>
              <w:ind w:right="-480"/>
            </w:pPr>
          </w:p>
        </w:tc>
      </w:tr>
      <w:tr w:rsidR="006E5829">
        <w:tc>
          <w:tcPr>
            <w:tcW w:w="8897" w:type="dxa"/>
          </w:tcPr>
          <w:p w:rsidR="006E5829" w:rsidRDefault="006E5829" w:rsidP="003B5329">
            <w:pPr>
              <w:pStyle w:val="BodyText3"/>
              <w:jc w:val="left"/>
            </w:pPr>
            <w:r>
              <w:t>This report sets out the Council’s revenue and capital outturn position for 2014/15</w:t>
            </w:r>
          </w:p>
          <w:p w:rsidR="006E5829" w:rsidRDefault="006E5829" w:rsidP="003B5329">
            <w:pPr>
              <w:pStyle w:val="BodyText3"/>
              <w:jc w:val="left"/>
              <w:rPr>
                <w:b/>
                <w:bCs/>
                <w:u w:val="single"/>
              </w:rPr>
            </w:pPr>
          </w:p>
          <w:p w:rsidR="006E5829" w:rsidRPr="00E445DA" w:rsidRDefault="006E5829" w:rsidP="003B5329">
            <w:pPr>
              <w:pStyle w:val="BodyText3"/>
              <w:jc w:val="left"/>
              <w:rPr>
                <w:b/>
                <w:bCs/>
                <w:sz w:val="28"/>
                <w:szCs w:val="28"/>
              </w:rPr>
            </w:pPr>
            <w:r w:rsidRPr="00E445DA">
              <w:rPr>
                <w:b/>
                <w:bCs/>
                <w:sz w:val="28"/>
                <w:szCs w:val="28"/>
              </w:rPr>
              <w:t xml:space="preserve">Recommendations: </w:t>
            </w:r>
          </w:p>
          <w:p w:rsidR="006E5829" w:rsidRDefault="006E5829" w:rsidP="003B5329">
            <w:pPr>
              <w:pStyle w:val="BodyText3"/>
              <w:numPr>
                <w:ilvl w:val="0"/>
                <w:numId w:val="3"/>
              </w:numPr>
              <w:ind w:left="1077" w:hanging="357"/>
              <w:jc w:val="left"/>
            </w:pPr>
            <w:r>
              <w:t>That Cabinet notes the revenue and capital outturn position for 2014/15</w:t>
            </w:r>
          </w:p>
          <w:p w:rsidR="006E5829" w:rsidRDefault="006E5829" w:rsidP="003B5329">
            <w:pPr>
              <w:pStyle w:val="BodyText3"/>
              <w:numPr>
                <w:ilvl w:val="0"/>
                <w:numId w:val="3"/>
              </w:numPr>
              <w:jc w:val="left"/>
            </w:pPr>
            <w:r>
              <w:t>That Cabinet approves the contributions to reserves outlined in paragraphs 20 to 32.</w:t>
            </w:r>
          </w:p>
          <w:p w:rsidR="006E5829" w:rsidRDefault="006E5829" w:rsidP="00162E61">
            <w:pPr>
              <w:pStyle w:val="BodyText3"/>
              <w:numPr>
                <w:ilvl w:val="0"/>
                <w:numId w:val="3"/>
              </w:numPr>
              <w:ind w:left="1077" w:hanging="357"/>
              <w:jc w:val="left"/>
            </w:pPr>
            <w:r>
              <w:t>That Cabinet approves the revenue carry forwards outlined at paragraph 34 and detailed in Appendix 2.</w:t>
            </w:r>
          </w:p>
          <w:p w:rsidR="006E5829" w:rsidRDefault="006E5829" w:rsidP="003B5329">
            <w:pPr>
              <w:pStyle w:val="BodyText3"/>
              <w:jc w:val="left"/>
            </w:pPr>
          </w:p>
        </w:tc>
      </w:tr>
    </w:tbl>
    <w:p w:rsidR="006E5829" w:rsidRDefault="006E5829">
      <w:pPr>
        <w:rPr>
          <w:color w:val="FF0000"/>
        </w:rPr>
      </w:pPr>
    </w:p>
    <w:p w:rsidR="006E5829" w:rsidRDefault="006E5829">
      <w:pPr>
        <w:rPr>
          <w:color w:val="FF0000"/>
        </w:rPr>
        <w:sectPr w:rsidR="006E5829" w:rsidSect="00162E61">
          <w:footerReference w:type="first" r:id="rId7"/>
          <w:pgSz w:w="11909" w:h="16834" w:code="9"/>
          <w:pgMar w:top="864" w:right="1728" w:bottom="2736" w:left="1728" w:header="720" w:footer="432" w:gutter="0"/>
          <w:cols w:space="720"/>
          <w:titlePg/>
          <w:docGrid w:linePitch="360"/>
        </w:sectPr>
      </w:pPr>
    </w:p>
    <w:p w:rsidR="006E5829" w:rsidRDefault="006E5829"/>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6E5829">
        <w:tc>
          <w:tcPr>
            <w:tcW w:w="8897" w:type="dxa"/>
          </w:tcPr>
          <w:p w:rsidR="006E5829" w:rsidRDefault="006E5829" w:rsidP="0087231C">
            <w:pPr>
              <w:pStyle w:val="BodyText3"/>
              <w:numPr>
                <w:ilvl w:val="0"/>
                <w:numId w:val="3"/>
              </w:numPr>
              <w:ind w:left="1077" w:hanging="357"/>
              <w:jc w:val="left"/>
            </w:pPr>
            <w:r>
              <w:t>That Cabinet approves the Housing Revenue Account debt write off outlined in paragraph 38.</w:t>
            </w:r>
          </w:p>
          <w:p w:rsidR="006E5829" w:rsidRDefault="006E5829" w:rsidP="0087231C">
            <w:pPr>
              <w:pStyle w:val="BodyText3"/>
              <w:numPr>
                <w:ilvl w:val="0"/>
                <w:numId w:val="3"/>
              </w:numPr>
              <w:ind w:left="1077" w:hanging="357"/>
              <w:jc w:val="left"/>
            </w:pPr>
            <w:r>
              <w:t>That Cabinet approve the additions to the capital programme outlined in paragraph 40.</w:t>
            </w:r>
          </w:p>
          <w:p w:rsidR="006E5829" w:rsidRPr="00342FA2" w:rsidRDefault="006E5829" w:rsidP="00342FA2">
            <w:pPr>
              <w:pStyle w:val="ListParagraph"/>
              <w:numPr>
                <w:ilvl w:val="0"/>
                <w:numId w:val="3"/>
              </w:numPr>
            </w:pPr>
            <w:r w:rsidRPr="00342FA2">
              <w:t>That Cabinet note the changes in quarter 4 to the Capital Programme outlined in paragraph 4</w:t>
            </w:r>
            <w:r>
              <w:t>1</w:t>
            </w:r>
            <w:r w:rsidRPr="00342FA2">
              <w:t xml:space="preserve"> to 4</w:t>
            </w:r>
            <w:r>
              <w:t>2</w:t>
            </w:r>
            <w:r w:rsidRPr="00342FA2">
              <w:t>.</w:t>
            </w:r>
          </w:p>
          <w:p w:rsidR="006E5829" w:rsidRPr="00342FA2" w:rsidRDefault="006E5829" w:rsidP="00342FA2">
            <w:pPr>
              <w:pStyle w:val="ListParagraph"/>
              <w:numPr>
                <w:ilvl w:val="0"/>
                <w:numId w:val="3"/>
              </w:numPr>
            </w:pPr>
            <w:r w:rsidRPr="00342FA2">
              <w:t xml:space="preserve">That Cabinet notes the carry forwards on the capital programme outlined in table </w:t>
            </w:r>
            <w:r>
              <w:t>4</w:t>
            </w:r>
            <w:r w:rsidRPr="00342FA2">
              <w:t xml:space="preserve"> (paragraph 3</w:t>
            </w:r>
            <w:r>
              <w:t>9</w:t>
            </w:r>
            <w:r w:rsidRPr="00342FA2">
              <w:t xml:space="preserve">) and set out at Appendix 3 that have been approved under delegated authority by the Director of Finance and Assurance </w:t>
            </w:r>
          </w:p>
          <w:p w:rsidR="006E5829" w:rsidRDefault="006E5829" w:rsidP="00162E61">
            <w:pPr>
              <w:pStyle w:val="BodyText3"/>
              <w:numPr>
                <w:ilvl w:val="0"/>
                <w:numId w:val="3"/>
              </w:numPr>
              <w:jc w:val="left"/>
              <w:rPr>
                <w:rFonts w:eastAsia="Arial Unicode MS"/>
              </w:rPr>
            </w:pPr>
            <w:r>
              <w:t>That Cabinet approve the virement in the 2015/16 capital programme detailed in paragraph 52.</w:t>
            </w:r>
          </w:p>
          <w:p w:rsidR="006E5829" w:rsidRDefault="006E5829" w:rsidP="00162E61">
            <w:pPr>
              <w:pStyle w:val="BodyText3"/>
              <w:numPr>
                <w:ilvl w:val="0"/>
                <w:numId w:val="3"/>
              </w:numPr>
              <w:jc w:val="left"/>
              <w:rPr>
                <w:rFonts w:eastAsia="Arial Unicode MS"/>
              </w:rPr>
            </w:pPr>
            <w:r>
              <w:t xml:space="preserve">That Cabinet notes the timetable for accounts completion and external </w:t>
            </w:r>
          </w:p>
          <w:p w:rsidR="006E5829" w:rsidRDefault="006E5829" w:rsidP="00162E61">
            <w:pPr>
              <w:pStyle w:val="BodyText3"/>
              <w:ind w:left="1080"/>
              <w:jc w:val="left"/>
              <w:rPr>
                <w:rFonts w:eastAsia="Arial Unicode MS"/>
              </w:rPr>
            </w:pPr>
            <w:r>
              <w:t>audit review as outlined in paragraph 54.</w:t>
            </w:r>
          </w:p>
          <w:p w:rsidR="006E5829" w:rsidRDefault="006E5829" w:rsidP="00162E61">
            <w:pPr>
              <w:pStyle w:val="BodyText3"/>
              <w:jc w:val="left"/>
              <w:rPr>
                <w:b/>
                <w:bCs/>
                <w:u w:val="single"/>
              </w:rPr>
            </w:pPr>
          </w:p>
          <w:p w:rsidR="006E5829" w:rsidRPr="006C1186" w:rsidRDefault="006E5829" w:rsidP="00E445DA">
            <w:pPr>
              <w:rPr>
                <w:b/>
                <w:bCs/>
                <w:sz w:val="28"/>
                <w:szCs w:val="28"/>
              </w:rPr>
            </w:pPr>
            <w:r w:rsidRPr="006C1186">
              <w:rPr>
                <w:b/>
                <w:bCs/>
                <w:sz w:val="28"/>
                <w:szCs w:val="28"/>
              </w:rPr>
              <w:t xml:space="preserve">Reason:  (For recommendations) </w:t>
            </w:r>
            <w:r w:rsidRPr="006C1186">
              <w:rPr>
                <w:b/>
                <w:bCs/>
                <w:color w:val="FF0000"/>
                <w:sz w:val="28"/>
                <w:szCs w:val="28"/>
              </w:rPr>
              <w:t xml:space="preserve"> </w:t>
            </w:r>
          </w:p>
          <w:p w:rsidR="006E5829" w:rsidRDefault="006E5829" w:rsidP="00162E61">
            <w:pPr>
              <w:ind w:right="-480"/>
              <w:rPr>
                <w:color w:val="FF0000"/>
              </w:rPr>
            </w:pPr>
            <w:r>
              <w:t>To report the financial position as at 31 March 2015.</w:t>
            </w:r>
          </w:p>
        </w:tc>
      </w:tr>
    </w:tbl>
    <w:p w:rsidR="006E5829" w:rsidRDefault="006E5829" w:rsidP="00484862"/>
    <w:p w:rsidR="006E5829" w:rsidRDefault="006E5829" w:rsidP="00484862"/>
    <w:p w:rsidR="006E5829" w:rsidRDefault="006E5829">
      <w:pPr>
        <w:pStyle w:val="Heading1"/>
      </w:pPr>
      <w:r>
        <w:t>Section 2 – Report</w:t>
      </w:r>
    </w:p>
    <w:p w:rsidR="006E5829" w:rsidRDefault="006E5829"/>
    <w:p w:rsidR="006E5829" w:rsidRPr="0057184D" w:rsidRDefault="006E5829" w:rsidP="0057184D">
      <w:pPr>
        <w:rPr>
          <w:b/>
          <w:bCs/>
        </w:rPr>
      </w:pPr>
      <w:r>
        <w:rPr>
          <w:b/>
          <w:bCs/>
        </w:rPr>
        <w:t>EXECUTIVE SUMMARY</w:t>
      </w:r>
    </w:p>
    <w:p w:rsidR="006E5829" w:rsidRPr="00DC3ACD" w:rsidRDefault="006E5829" w:rsidP="00145C62">
      <w:pPr>
        <w:pStyle w:val="ListParagraph"/>
        <w:numPr>
          <w:ilvl w:val="0"/>
          <w:numId w:val="13"/>
        </w:numPr>
        <w:ind w:right="304"/>
        <w:jc w:val="both"/>
      </w:pPr>
      <w:r w:rsidRPr="00DC3ACD">
        <w:t>The revenue outturn position of the Council at the end of the financial year 2014/15year is showing a net under spend of£5.3</w:t>
      </w:r>
      <w:r>
        <w:t>8</w:t>
      </w:r>
      <w:r w:rsidRPr="00DC3ACD">
        <w:t>1mbefore transfers to reserves.  Carry forwards of £1.598mare requested which will reduce the net under spend after transfers to £3.7</w:t>
      </w:r>
      <w:r>
        <w:t>8</w:t>
      </w:r>
      <w:r w:rsidRPr="00DC3ACD">
        <w:t>3m.  It is an achievement that the council has delivered services within the approved budget, contained the pressures arising from the challenging financial environment and the risks around demand pressures</w:t>
      </w:r>
      <w:r>
        <w:t>.The gross savings included within the 2014/15 budget totalled £12.939m.</w:t>
      </w:r>
    </w:p>
    <w:p w:rsidR="006E5829" w:rsidRDefault="006E5829" w:rsidP="008421AB">
      <w:pPr>
        <w:numPr>
          <w:ilvl w:val="0"/>
          <w:numId w:val="8"/>
        </w:numPr>
        <w:tabs>
          <w:tab w:val="clear" w:pos="374"/>
          <w:tab w:val="num" w:pos="709"/>
        </w:tabs>
        <w:ind w:left="426" w:right="304" w:hanging="426"/>
        <w:jc w:val="both"/>
      </w:pPr>
      <w:r w:rsidRPr="0071744F">
        <w:t>It is recommended</w:t>
      </w:r>
      <w:r>
        <w:t xml:space="preserve"> that the under spend of £5.381mis used to increase  reserves as follows:</w:t>
      </w:r>
    </w:p>
    <w:p w:rsidR="006E5829" w:rsidRDefault="006E5829" w:rsidP="00C767C6">
      <w:pPr>
        <w:tabs>
          <w:tab w:val="num" w:pos="561"/>
        </w:tabs>
        <w:ind w:left="561" w:hanging="561"/>
        <w:jc w:val="both"/>
      </w:pPr>
    </w:p>
    <w:p w:rsidR="006E5829" w:rsidRDefault="006E5829" w:rsidP="008421AB">
      <w:pPr>
        <w:numPr>
          <w:ilvl w:val="0"/>
          <w:numId w:val="5"/>
        </w:numPr>
        <w:tabs>
          <w:tab w:val="clear" w:pos="734"/>
          <w:tab w:val="num" w:pos="426"/>
          <w:tab w:val="num" w:pos="1094"/>
        </w:tabs>
        <w:ind w:left="561" w:hanging="561"/>
        <w:jc w:val="both"/>
      </w:pPr>
      <w:r>
        <w:t xml:space="preserve">Carry forwards </w:t>
      </w:r>
      <w:r>
        <w:tab/>
      </w:r>
      <w:r>
        <w:tab/>
      </w:r>
      <w:r>
        <w:tab/>
      </w:r>
      <w:r>
        <w:tab/>
      </w:r>
      <w:r>
        <w:tab/>
      </w:r>
      <w:r>
        <w:tab/>
      </w:r>
      <w:r>
        <w:tab/>
        <w:t>£1.598m</w:t>
      </w:r>
    </w:p>
    <w:p w:rsidR="006E5829" w:rsidRDefault="006E5829" w:rsidP="008421AB">
      <w:pPr>
        <w:numPr>
          <w:ilvl w:val="0"/>
          <w:numId w:val="5"/>
        </w:numPr>
        <w:tabs>
          <w:tab w:val="clear" w:pos="734"/>
          <w:tab w:val="num" w:pos="426"/>
          <w:tab w:val="num" w:pos="1094"/>
        </w:tabs>
        <w:ind w:left="561" w:hanging="561"/>
        <w:jc w:val="both"/>
      </w:pPr>
      <w:r>
        <w:t>IT Implementation Reserve</w:t>
      </w:r>
      <w:r>
        <w:tab/>
      </w:r>
      <w:r>
        <w:tab/>
      </w:r>
      <w:r>
        <w:tab/>
      </w:r>
      <w:r>
        <w:tab/>
      </w:r>
      <w:r>
        <w:tab/>
        <w:t>£2.854m</w:t>
      </w:r>
    </w:p>
    <w:p w:rsidR="006E5829" w:rsidRDefault="006E5829" w:rsidP="008421AB">
      <w:pPr>
        <w:numPr>
          <w:ilvl w:val="0"/>
          <w:numId w:val="5"/>
        </w:numPr>
        <w:tabs>
          <w:tab w:val="clear" w:pos="734"/>
          <w:tab w:val="num" w:pos="426"/>
          <w:tab w:val="num" w:pos="1094"/>
        </w:tabs>
        <w:ind w:left="561" w:hanging="561"/>
        <w:jc w:val="both"/>
      </w:pPr>
      <w:r>
        <w:t>Rapid Response Reserve</w:t>
      </w:r>
      <w:r>
        <w:tab/>
      </w:r>
      <w:r>
        <w:tab/>
      </w:r>
      <w:r>
        <w:tab/>
      </w:r>
      <w:r>
        <w:tab/>
      </w:r>
      <w:r>
        <w:tab/>
        <w:t>£75k</w:t>
      </w:r>
      <w:r>
        <w:tab/>
      </w:r>
      <w:r>
        <w:tab/>
      </w:r>
    </w:p>
    <w:p w:rsidR="006E5829" w:rsidRDefault="006E5829" w:rsidP="008421AB">
      <w:pPr>
        <w:numPr>
          <w:ilvl w:val="0"/>
          <w:numId w:val="5"/>
        </w:numPr>
        <w:tabs>
          <w:tab w:val="clear" w:pos="734"/>
          <w:tab w:val="num" w:pos="426"/>
          <w:tab w:val="num" w:pos="1094"/>
        </w:tabs>
        <w:ind w:left="561" w:hanging="561"/>
        <w:jc w:val="both"/>
      </w:pPr>
      <w:r>
        <w:t>Standing up for those in need</w:t>
      </w:r>
      <w:r>
        <w:tab/>
      </w:r>
      <w:r>
        <w:tab/>
      </w:r>
      <w:r>
        <w:tab/>
      </w:r>
      <w:r>
        <w:tab/>
      </w:r>
      <w:r>
        <w:tab/>
        <w:t>£0.800m</w:t>
      </w:r>
    </w:p>
    <w:p w:rsidR="006E5829" w:rsidRDefault="006E5829" w:rsidP="008421AB">
      <w:pPr>
        <w:numPr>
          <w:ilvl w:val="0"/>
          <w:numId w:val="5"/>
        </w:numPr>
        <w:tabs>
          <w:tab w:val="clear" w:pos="734"/>
          <w:tab w:val="num" w:pos="426"/>
          <w:tab w:val="num" w:pos="1094"/>
        </w:tabs>
        <w:ind w:left="561" w:hanging="561"/>
        <w:jc w:val="both"/>
      </w:pPr>
      <w:r>
        <w:t>MTFS Implementation</w:t>
      </w:r>
      <w:r>
        <w:tab/>
      </w:r>
      <w:r>
        <w:tab/>
      </w:r>
      <w:r>
        <w:tab/>
      </w:r>
      <w:r>
        <w:tab/>
      </w:r>
      <w:r>
        <w:tab/>
      </w:r>
      <w:r>
        <w:tab/>
        <w:t>£54k</w:t>
      </w:r>
      <w:r>
        <w:tab/>
      </w:r>
      <w:r>
        <w:tab/>
      </w:r>
      <w:r>
        <w:tab/>
      </w:r>
      <w:r>
        <w:tab/>
      </w:r>
      <w:r>
        <w:tab/>
      </w:r>
    </w:p>
    <w:p w:rsidR="006E5829" w:rsidRPr="000F0C4F" w:rsidRDefault="006E5829" w:rsidP="0087231C">
      <w:pPr>
        <w:pStyle w:val="ListParagraph"/>
        <w:numPr>
          <w:ilvl w:val="0"/>
          <w:numId w:val="8"/>
        </w:numPr>
        <w:ind w:right="304"/>
        <w:jc w:val="both"/>
      </w:pPr>
      <w:r w:rsidRPr="000F0C4F">
        <w:t>The recommended contributions to reserves will support the Council moving forward to deliver agreed services in the challenging financial environment facing local government.</w:t>
      </w:r>
    </w:p>
    <w:p w:rsidR="006E5829" w:rsidRDefault="006E5829" w:rsidP="00C767C6">
      <w:pPr>
        <w:tabs>
          <w:tab w:val="num" w:pos="561"/>
        </w:tabs>
        <w:ind w:left="561" w:hanging="561"/>
        <w:jc w:val="both"/>
      </w:pPr>
    </w:p>
    <w:p w:rsidR="006E5829" w:rsidRPr="000F0C4F" w:rsidRDefault="006E5829" w:rsidP="00DC3ACD">
      <w:pPr>
        <w:pStyle w:val="ListParagraph"/>
        <w:numPr>
          <w:ilvl w:val="0"/>
          <w:numId w:val="13"/>
        </w:numPr>
        <w:ind w:right="304"/>
        <w:jc w:val="both"/>
      </w:pPr>
      <w:r w:rsidRPr="000F0C4F">
        <w:t>All outturn positions detailed in this report are provisional until agreed by Cabinet</w:t>
      </w:r>
      <w:r>
        <w:t xml:space="preserve"> and are subject to minor technical changes, prior to the finalisation of the Statement of Accounts.</w:t>
      </w:r>
    </w:p>
    <w:p w:rsidR="006E5829" w:rsidRDefault="006E5829" w:rsidP="00C767C6">
      <w:pPr>
        <w:tabs>
          <w:tab w:val="num" w:pos="561"/>
        </w:tabs>
        <w:ind w:left="561" w:hanging="561"/>
        <w:jc w:val="both"/>
        <w:rPr>
          <w:b/>
          <w:bCs/>
        </w:rPr>
      </w:pPr>
    </w:p>
    <w:p w:rsidR="006E5829" w:rsidRDefault="006E5829" w:rsidP="0046757C">
      <w:pPr>
        <w:numPr>
          <w:ilvl w:val="0"/>
          <w:numId w:val="9"/>
        </w:numPr>
        <w:tabs>
          <w:tab w:val="clear" w:pos="374"/>
          <w:tab w:val="num" w:pos="-187"/>
        </w:tabs>
        <w:spacing w:after="240"/>
        <w:ind w:left="426" w:hanging="412"/>
        <w:jc w:val="both"/>
      </w:pPr>
      <w:r>
        <w:t>Totalspend on the capital programme for the year is £61.871m</w:t>
      </w:r>
      <w:r w:rsidRPr="00CB62CE">
        <w:rPr>
          <w:color w:val="000000"/>
        </w:rPr>
        <w:t>(£</w:t>
      </w:r>
      <w:r>
        <w:rPr>
          <w:color w:val="000000"/>
        </w:rPr>
        <w:t xml:space="preserve">57.427m </w:t>
      </w:r>
      <w:r w:rsidRPr="00CB62CE">
        <w:rPr>
          <w:color w:val="000000"/>
        </w:rPr>
        <w:t>General Fund and £</w:t>
      </w:r>
      <w:r>
        <w:rPr>
          <w:color w:val="000000"/>
        </w:rPr>
        <w:t>4.443m</w:t>
      </w:r>
      <w:r w:rsidRPr="00CB62CE">
        <w:rPr>
          <w:color w:val="000000"/>
        </w:rPr>
        <w:t xml:space="preserve"> HRA</w:t>
      </w:r>
      <w:r>
        <w:t xml:space="preserve">). </w:t>
      </w:r>
      <w:r>
        <w:rPr>
          <w:color w:val="000000"/>
        </w:rPr>
        <w:t xml:space="preserve">This compares to an approved budget of £117.877m (£107.402m General Fund and £10.476m HRA). </w:t>
      </w:r>
      <w:r>
        <w:t>The variance of £56.005m comprises of slippage of £48.372m General Fund and £2.241m HRA and underspends of £1.600m General Fund and £3.792m HRA. The underspends will contribute to revenue savings on capital financing costs.</w:t>
      </w:r>
    </w:p>
    <w:p w:rsidR="006E5829" w:rsidRPr="0057184D" w:rsidRDefault="006E5829" w:rsidP="00C767C6">
      <w:pPr>
        <w:jc w:val="both"/>
        <w:rPr>
          <w:b/>
          <w:bCs/>
        </w:rPr>
      </w:pPr>
      <w:r>
        <w:rPr>
          <w:b/>
          <w:bCs/>
        </w:rPr>
        <w:t>REVENUE OUTTURN</w:t>
      </w:r>
    </w:p>
    <w:p w:rsidR="006E5829" w:rsidRPr="000F0C4F" w:rsidRDefault="006E5829" w:rsidP="0087231C">
      <w:pPr>
        <w:pStyle w:val="ListParagraph"/>
        <w:numPr>
          <w:ilvl w:val="0"/>
          <w:numId w:val="9"/>
        </w:numPr>
        <w:ind w:right="304"/>
        <w:jc w:val="both"/>
      </w:pPr>
      <w:r w:rsidRPr="000F0C4F">
        <w:t xml:space="preserve">The revenue outturn </w:t>
      </w:r>
      <w:r>
        <w:t xml:space="preserve">on General Fund </w:t>
      </w:r>
      <w:r w:rsidRPr="000F0C4F">
        <w:t xml:space="preserve">for the Council after transfers to ear marked reserves for the financial year 2014/15is nil against the approved budget of £174.426m, and there is no addition or reduction to general reserves.  </w:t>
      </w:r>
    </w:p>
    <w:p w:rsidR="006E5829" w:rsidRDefault="006E5829" w:rsidP="00FA23DE">
      <w:pPr>
        <w:ind w:left="360"/>
      </w:pPr>
    </w:p>
    <w:p w:rsidR="006E5829" w:rsidRDefault="006E5829">
      <w:r>
        <w:t>Table 1 Revenue Outturn 2014/15 Summary</w:t>
      </w:r>
    </w:p>
    <w:p w:rsidR="006E5829" w:rsidRDefault="006E5829">
      <w:r w:rsidRPr="00B41DE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70.25pt;height:414pt;visibility:visible">
            <v:imagedata r:id="rId8" o:title=""/>
          </v:shape>
        </w:pict>
      </w:r>
    </w:p>
    <w:p w:rsidR="006E5829" w:rsidRDefault="006E5829"/>
    <w:p w:rsidR="006E5829" w:rsidRPr="000F0C4F" w:rsidRDefault="006E5829" w:rsidP="0057184D">
      <w:pPr>
        <w:rPr>
          <w:b/>
          <w:bCs/>
        </w:rPr>
      </w:pPr>
      <w:r>
        <w:rPr>
          <w:b/>
          <w:bCs/>
        </w:rPr>
        <w:t>Directorates’ Position</w:t>
      </w:r>
    </w:p>
    <w:p w:rsidR="006E5829" w:rsidRPr="000F0C4F" w:rsidRDefault="006E5829" w:rsidP="0087231C">
      <w:pPr>
        <w:pStyle w:val="ListParagraph"/>
        <w:numPr>
          <w:ilvl w:val="0"/>
          <w:numId w:val="9"/>
        </w:numPr>
        <w:spacing w:after="240"/>
        <w:ind w:right="306"/>
        <w:jc w:val="both"/>
        <w:rPr>
          <w:b/>
          <w:bCs/>
        </w:rPr>
      </w:pPr>
      <w:r w:rsidRPr="000F0C4F">
        <w:t>The outturn for the Directorates is an under spend of £1.</w:t>
      </w:r>
      <w:r>
        <w:t>328</w:t>
      </w:r>
      <w:r w:rsidRPr="000F0C4F">
        <w:t>m against the approved budget of £184.9</w:t>
      </w:r>
      <w:r>
        <w:t>42</w:t>
      </w:r>
      <w:r w:rsidRPr="000F0C4F">
        <w:t xml:space="preserve">mwhich represents a 0.7%variance.  The position for each directorate is summarised below and further details are provided in Appendix 1.  </w:t>
      </w:r>
    </w:p>
    <w:p w:rsidR="006E5829" w:rsidRPr="00C83B12" w:rsidRDefault="006E5829" w:rsidP="00C767C6">
      <w:pPr>
        <w:jc w:val="both"/>
        <w:rPr>
          <w:b/>
          <w:bCs/>
        </w:rPr>
      </w:pPr>
      <w:r w:rsidRPr="00C83B12">
        <w:rPr>
          <w:b/>
          <w:bCs/>
        </w:rPr>
        <w:t>Resources</w:t>
      </w:r>
    </w:p>
    <w:p w:rsidR="006E5829" w:rsidRPr="000F0C4F" w:rsidRDefault="006E5829" w:rsidP="0087231C">
      <w:pPr>
        <w:pStyle w:val="ListParagraph"/>
        <w:numPr>
          <w:ilvl w:val="0"/>
          <w:numId w:val="9"/>
        </w:numPr>
        <w:spacing w:after="240"/>
        <w:ind w:right="306"/>
        <w:jc w:val="both"/>
      </w:pPr>
      <w:r w:rsidRPr="000F0C4F">
        <w:t>The outturn position for Resources is an under spend of £1.130m.  The key reasons are detailed below:</w:t>
      </w:r>
    </w:p>
    <w:p w:rsidR="006E5829" w:rsidRDefault="006E5829" w:rsidP="00A83ACC">
      <w:pPr>
        <w:spacing w:after="240"/>
        <w:ind w:left="851" w:right="306" w:hanging="290"/>
        <w:jc w:val="both"/>
      </w:pPr>
      <w:r>
        <w:t>●</w:t>
      </w:r>
      <w:r>
        <w:tab/>
        <w:t xml:space="preserve">Finance and Assurance – Increase in SLA income from Schools (£45k), an under spend on the finance transformation project and previously anticipated contribution to Insurance provision (£144k.), and a reduction in staff cost and delay to delivery of new anti-fraud system (£79k) all contribute to an under spend of £268k </w:t>
      </w:r>
    </w:p>
    <w:p w:rsidR="006E5829" w:rsidRDefault="006E5829" w:rsidP="00A83ACC">
      <w:pPr>
        <w:spacing w:after="240"/>
        <w:ind w:left="851" w:right="306" w:hanging="290"/>
        <w:jc w:val="both"/>
      </w:pPr>
      <w:r>
        <w:t>●</w:t>
      </w:r>
      <w:r>
        <w:tab/>
        <w:t xml:space="preserve">HRD &amp; Shared Services – Savings on staffing and operational activity  (£63k), delay to delivery of Management training  (£30k), delay to change for SAP account receivable invoice /credit note (£28k), other staffing underspend from Trade Union (£20k) and (£12k) additional income from HR services contribute to an under spend of £153k </w:t>
      </w:r>
    </w:p>
    <w:p w:rsidR="006E5829" w:rsidRDefault="006E5829" w:rsidP="00A83ACC">
      <w:pPr>
        <w:spacing w:after="240"/>
        <w:ind w:left="851" w:right="306" w:hanging="290"/>
        <w:jc w:val="both"/>
      </w:pPr>
      <w:r>
        <w:t>●</w:t>
      </w:r>
      <w:r>
        <w:tab/>
        <w:t>Strategic Commissioning – Over recovery of SIMS income (£29k), Operation activity and staffing underspend in  Performance Management Team, Strategy &amp; Performance and Policy and Partnership  (£180k),  Local Area Agreement (LAA) Grant (£44k) contribute to an under spend of £252k</w:t>
      </w:r>
    </w:p>
    <w:p w:rsidR="006E5829" w:rsidRDefault="006E5829" w:rsidP="00A83ACC">
      <w:pPr>
        <w:spacing w:after="240"/>
        <w:ind w:left="851" w:right="306" w:hanging="290"/>
        <w:jc w:val="both"/>
      </w:pPr>
      <w:r>
        <w:t>●</w:t>
      </w:r>
      <w:r>
        <w:tab/>
        <w:t>Customer Services – There are a number of variances that have contributed to the overall under spend of £325k.  The key variances are:</w:t>
      </w:r>
    </w:p>
    <w:p w:rsidR="006E5829" w:rsidRPr="00A8450A" w:rsidRDefault="006E5829" w:rsidP="00A83ACC">
      <w:pPr>
        <w:spacing w:after="240"/>
        <w:ind w:left="1701" w:right="306" w:hanging="425"/>
        <w:jc w:val="both"/>
      </w:pPr>
      <w:r>
        <w:t>●</w:t>
      </w:r>
      <w:r>
        <w:tab/>
        <w:t>Business Transformation Programme (BTP) payments not required due to delays in Mobile and Flex project (£249k).</w:t>
      </w:r>
      <w:r>
        <w:tab/>
      </w:r>
      <w:r>
        <w:tab/>
      </w:r>
    </w:p>
    <w:p w:rsidR="006E5829" w:rsidRDefault="006E5829" w:rsidP="00A83ACC">
      <w:pPr>
        <w:spacing w:after="240"/>
        <w:ind w:left="1701" w:right="306" w:hanging="425"/>
        <w:jc w:val="both"/>
      </w:pPr>
      <w:r>
        <w:t>●</w:t>
      </w:r>
      <w:r>
        <w:tab/>
        <w:t>Saving on new Print contract and carried forward budget for the old   print contract not needed (£168k)</w:t>
      </w:r>
    </w:p>
    <w:p w:rsidR="006E5829" w:rsidRDefault="006E5829" w:rsidP="00A83ACC">
      <w:pPr>
        <w:spacing w:after="240"/>
        <w:ind w:left="1701" w:right="306" w:hanging="425"/>
        <w:jc w:val="both"/>
      </w:pPr>
      <w:r>
        <w:t>●</w:t>
      </w:r>
      <w:r>
        <w:tab/>
        <w:t>BTP staffing and operational underspend (£66k)</w:t>
      </w:r>
    </w:p>
    <w:p w:rsidR="006E5829" w:rsidRDefault="006E5829" w:rsidP="00A83ACC">
      <w:pPr>
        <w:spacing w:after="240"/>
        <w:ind w:left="1701" w:right="306" w:hanging="425"/>
        <w:jc w:val="both"/>
      </w:pPr>
      <w:r>
        <w:t>●</w:t>
      </w:r>
      <w:r>
        <w:tab/>
        <w:t>The Housing Benefit overpayment bad debt provision was £100k overspent</w:t>
      </w:r>
    </w:p>
    <w:p w:rsidR="006E5829" w:rsidRDefault="006E5829" w:rsidP="00A83ACC">
      <w:pPr>
        <w:spacing w:after="240"/>
        <w:ind w:left="1701" w:right="306" w:hanging="425"/>
        <w:jc w:val="both"/>
      </w:pPr>
      <w:r w:rsidRPr="00BA709C">
        <w:t>●</w:t>
      </w:r>
      <w:r w:rsidRPr="00BA709C">
        <w:tab/>
        <w:t>Access Harrow staffing overspend and reduction in expected income 58k</w:t>
      </w:r>
    </w:p>
    <w:p w:rsidR="006E5829" w:rsidRDefault="006E5829" w:rsidP="00A83ACC">
      <w:pPr>
        <w:pStyle w:val="ListParagraph"/>
        <w:numPr>
          <w:ilvl w:val="0"/>
          <w:numId w:val="11"/>
        </w:numPr>
        <w:ind w:left="851" w:right="306" w:hanging="284"/>
        <w:jc w:val="both"/>
      </w:pPr>
      <w:r w:rsidRPr="0032736E">
        <w:t xml:space="preserve">Legal &amp; Governance – </w:t>
      </w:r>
      <w:r>
        <w:t>HBPL Public Law</w:t>
      </w:r>
      <w:r w:rsidRPr="0032736E">
        <w:t>deliver a contribution, of £</w:t>
      </w:r>
      <w:r>
        <w:t>105</w:t>
      </w:r>
      <w:r w:rsidRPr="0032736E">
        <w:t>k</w:t>
      </w:r>
      <w:r>
        <w:t xml:space="preserve"> of which </w:t>
      </w:r>
      <w:r w:rsidRPr="0032736E">
        <w:t>£</w:t>
      </w:r>
      <w:r>
        <w:t>102</w:t>
      </w:r>
      <w:r w:rsidRPr="0032736E">
        <w:t xml:space="preserve">k </w:t>
      </w:r>
      <w:r>
        <w:t>has been</w:t>
      </w:r>
      <w:r w:rsidRPr="0032736E">
        <w:t xml:space="preserve"> moved to </w:t>
      </w:r>
      <w:r>
        <w:t xml:space="preserve">a </w:t>
      </w:r>
      <w:r w:rsidRPr="0032736E">
        <w:t>Legal Expansion Reserve</w:t>
      </w:r>
      <w:r>
        <w:t xml:space="preserve"> and  u</w:t>
      </w:r>
      <w:r w:rsidRPr="0032736E">
        <w:t xml:space="preserve">ncompleted </w:t>
      </w:r>
      <w:r>
        <w:t>user acceptance testing</w:t>
      </w:r>
      <w:r w:rsidRPr="0032736E">
        <w:t xml:space="preserve"> (£86k) </w:t>
      </w:r>
      <w:r>
        <w:t>of a Case management systemcontribute to an underspend of £89k.</w:t>
      </w:r>
    </w:p>
    <w:p w:rsidR="006E5829" w:rsidRPr="0046757C" w:rsidRDefault="006E5829" w:rsidP="0046757C">
      <w:pPr>
        <w:ind w:left="720" w:right="306"/>
        <w:jc w:val="both"/>
      </w:pPr>
    </w:p>
    <w:p w:rsidR="006E5829" w:rsidRPr="000F0C4F" w:rsidRDefault="006E5829" w:rsidP="0087231C">
      <w:pPr>
        <w:pStyle w:val="ListParagraph"/>
        <w:numPr>
          <w:ilvl w:val="0"/>
          <w:numId w:val="9"/>
        </w:numPr>
        <w:spacing w:after="240"/>
        <w:ind w:right="306"/>
        <w:jc w:val="both"/>
      </w:pPr>
      <w:r w:rsidRPr="000F0C4F">
        <w:t>The under spend is reduced to £</w:t>
      </w:r>
      <w:r>
        <w:t>0.</w:t>
      </w:r>
      <w:r w:rsidRPr="000F0C4F">
        <w:t>84</w:t>
      </w:r>
      <w:r>
        <w:t>2m</w:t>
      </w:r>
      <w:r w:rsidRPr="000F0C4F">
        <w:t xml:space="preserve"> after accounting for carry forwards of £28</w:t>
      </w:r>
      <w:r>
        <w:t>8</w:t>
      </w:r>
      <w:r w:rsidRPr="000F0C4F">
        <w:t xml:space="preserve">k which this report recommends (Appendix 2) </w:t>
      </w:r>
    </w:p>
    <w:p w:rsidR="006E5829" w:rsidRPr="00737F1C" w:rsidRDefault="006E5829" w:rsidP="009870D0">
      <w:pPr>
        <w:spacing w:after="240"/>
        <w:ind w:left="561" w:right="306" w:hanging="561"/>
        <w:jc w:val="both"/>
        <w:rPr>
          <w:b/>
          <w:bCs/>
        </w:rPr>
      </w:pPr>
      <w:r w:rsidRPr="00FA23DE">
        <w:rPr>
          <w:b/>
          <w:bCs/>
        </w:rPr>
        <w:t>Environment and Enterprise</w:t>
      </w:r>
    </w:p>
    <w:p w:rsidR="006E5829" w:rsidRPr="000F0C4F" w:rsidRDefault="006E5829" w:rsidP="0087231C">
      <w:pPr>
        <w:pStyle w:val="ListParagraph"/>
        <w:numPr>
          <w:ilvl w:val="0"/>
          <w:numId w:val="9"/>
        </w:numPr>
        <w:spacing w:after="240"/>
        <w:ind w:right="306"/>
        <w:jc w:val="both"/>
      </w:pPr>
      <w:r w:rsidRPr="000F0C4F">
        <w:t>The outturn position for Environment &amp; Enterprise is an under spend of £0.508m.  The key reasons are detailed below:</w:t>
      </w:r>
    </w:p>
    <w:p w:rsidR="006E5829" w:rsidRPr="002F0563" w:rsidRDefault="006E5829" w:rsidP="00A83ACC">
      <w:pPr>
        <w:spacing w:after="240"/>
        <w:ind w:left="851" w:right="306" w:hanging="284"/>
        <w:jc w:val="both"/>
      </w:pPr>
      <w:r w:rsidRPr="002F0563">
        <w:t>●</w:t>
      </w:r>
      <w:r w:rsidRPr="002F0563">
        <w:tab/>
        <w:t xml:space="preserve">Additional income and one-off under spends - </w:t>
      </w:r>
      <w:r>
        <w:t>P</w:t>
      </w:r>
      <w:r w:rsidRPr="002F0563">
        <w:t>arking enforcement (£0.764m), delays in the project implementation costs of Towards Excellence (£277</w:t>
      </w:r>
      <w:r>
        <w:t>k</w:t>
      </w:r>
      <w:r w:rsidRPr="002F0563">
        <w:t>), additional rents from corporate estates (£164</w:t>
      </w:r>
      <w:r>
        <w:t>k</w:t>
      </w:r>
      <w:r w:rsidRPr="002F0563">
        <w:t>), additional recycling and Civic Amenity site income (£181</w:t>
      </w:r>
      <w:r>
        <w:t>k</w:t>
      </w:r>
      <w:r w:rsidRPr="002F0563">
        <w:t>) and additional income from cemeteries (£</w:t>
      </w:r>
      <w:r>
        <w:t>1</w:t>
      </w:r>
      <w:r w:rsidRPr="002F0563">
        <w:t>10</w:t>
      </w:r>
      <w:r>
        <w:t>k</w:t>
      </w:r>
      <w:r w:rsidRPr="002F0563">
        <w:t xml:space="preserve">).  </w:t>
      </w:r>
    </w:p>
    <w:p w:rsidR="006E5829" w:rsidRPr="002F0563" w:rsidRDefault="006E5829" w:rsidP="00A83ACC">
      <w:pPr>
        <w:ind w:left="851" w:right="304" w:hanging="284"/>
        <w:jc w:val="both"/>
      </w:pPr>
      <w:r w:rsidRPr="002F0563">
        <w:t>●</w:t>
      </w:r>
      <w:r w:rsidRPr="002F0563">
        <w:tab/>
        <w:t xml:space="preserve">Offsetting these underspends </w:t>
      </w:r>
      <w:r>
        <w:t>is an</w:t>
      </w:r>
      <w:r w:rsidRPr="002F0563">
        <w:t>MTFS saving not achieved in relation to the delay in Leisure Centre car parking charging (£300</w:t>
      </w:r>
      <w:r>
        <w:t>k</w:t>
      </w:r>
      <w:r w:rsidRPr="002F0563">
        <w:t>)</w:t>
      </w:r>
      <w:r>
        <w:t xml:space="preserve"> which will be started in April 2015</w:t>
      </w:r>
      <w:r w:rsidRPr="002F0563">
        <w:t xml:space="preserve">, </w:t>
      </w:r>
      <w:r>
        <w:t xml:space="preserve">spend on </w:t>
      </w:r>
      <w:r w:rsidRPr="002F0563">
        <w:t>Neighbourhood Investment Schemes reclassified as revenue expenditure (£219</w:t>
      </w:r>
      <w:r>
        <w:t>k</w:t>
      </w:r>
      <w:r w:rsidRPr="002F0563">
        <w:t>), a shortfall on Building Control fee income (£179</w:t>
      </w:r>
      <w:r>
        <w:t>k</w:t>
      </w:r>
      <w:r w:rsidRPr="002F0563">
        <w:t>) and  a shortfall on trade waste income (£281</w:t>
      </w:r>
      <w:r>
        <w:t>k</w:t>
      </w:r>
      <w:r w:rsidRPr="002F0563">
        <w:t xml:space="preserve">) </w:t>
      </w:r>
    </w:p>
    <w:p w:rsidR="006E5829" w:rsidRPr="002F0563" w:rsidRDefault="006E5829" w:rsidP="002F0563">
      <w:pPr>
        <w:ind w:left="374" w:right="304"/>
        <w:jc w:val="both"/>
      </w:pPr>
    </w:p>
    <w:p w:rsidR="006E5829" w:rsidRPr="000F0C4F" w:rsidRDefault="006E5829" w:rsidP="0087231C">
      <w:pPr>
        <w:pStyle w:val="ListParagraph"/>
        <w:numPr>
          <w:ilvl w:val="0"/>
          <w:numId w:val="9"/>
        </w:numPr>
        <w:spacing w:after="240"/>
        <w:ind w:right="306"/>
        <w:jc w:val="both"/>
      </w:pPr>
      <w:r w:rsidRPr="000F0C4F">
        <w:t>The under spend is reduced to £170</w:t>
      </w:r>
      <w:r>
        <w:t>k</w:t>
      </w:r>
      <w:r w:rsidRPr="000F0C4F">
        <w:t xml:space="preserve"> after accounting for carry forwards of £338</w:t>
      </w:r>
      <w:r>
        <w:t>k</w:t>
      </w:r>
      <w:r w:rsidRPr="000F0C4F">
        <w:t xml:space="preserve"> which this report recommends (Appendix 2) </w:t>
      </w:r>
    </w:p>
    <w:p w:rsidR="006E5829" w:rsidRPr="00737F1C" w:rsidRDefault="006E5829" w:rsidP="00C767C6">
      <w:pPr>
        <w:ind w:right="304"/>
        <w:jc w:val="both"/>
        <w:rPr>
          <w:b/>
          <w:bCs/>
        </w:rPr>
      </w:pPr>
      <w:r w:rsidRPr="00FC4BB9">
        <w:rPr>
          <w:b/>
          <w:bCs/>
        </w:rPr>
        <w:t>Community Health and Wellbeing</w:t>
      </w:r>
    </w:p>
    <w:p w:rsidR="006E5829" w:rsidRPr="000F0C4F" w:rsidRDefault="006E5829" w:rsidP="0087231C">
      <w:pPr>
        <w:pStyle w:val="ListParagraph"/>
        <w:numPr>
          <w:ilvl w:val="0"/>
          <w:numId w:val="9"/>
        </w:numPr>
        <w:ind w:right="304"/>
        <w:jc w:val="both"/>
      </w:pPr>
      <w:r w:rsidRPr="000F0C4F">
        <w:t>The outturn position for Community Health and Wellbeing is an over spend of £</w:t>
      </w:r>
      <w:r>
        <w:t>0.989</w:t>
      </w:r>
      <w:r w:rsidRPr="000F0C4F">
        <w:t>m.  The key reasons are detailed below:</w:t>
      </w:r>
    </w:p>
    <w:p w:rsidR="006E5829" w:rsidRDefault="006E5829" w:rsidP="00C767C6">
      <w:pPr>
        <w:ind w:right="304"/>
        <w:jc w:val="both"/>
      </w:pPr>
    </w:p>
    <w:p w:rsidR="006E5829" w:rsidRPr="00DC6581" w:rsidRDefault="006E5829" w:rsidP="00A83ACC">
      <w:pPr>
        <w:pStyle w:val="ListParagraph"/>
        <w:numPr>
          <w:ilvl w:val="0"/>
          <w:numId w:val="6"/>
        </w:numPr>
        <w:tabs>
          <w:tab w:val="clear" w:pos="1440"/>
          <w:tab w:val="num" w:pos="1701"/>
        </w:tabs>
        <w:ind w:left="851" w:hanging="284"/>
      </w:pPr>
      <w:r w:rsidRPr="00DC6581">
        <w:t xml:space="preserve">Housing General </w:t>
      </w:r>
      <w:r>
        <w:t>F</w:t>
      </w:r>
      <w:r w:rsidRPr="00DC6581">
        <w:t>und services are over spent by £1.</w:t>
      </w:r>
      <w:r>
        <w:t>271</w:t>
      </w:r>
      <w:r w:rsidRPr="00DC6581">
        <w:t>m, due mainly to increased demand for Bed &amp; Breakfast accommodation driven by rapidly increasing rents in the Private Rented Sector combined with the impact of Government’s on-going Welfare Reforms, lower than anticipated Discretionary Housing Payments and higher contributions to the bad debt provision. The worsening position means that there is also a very real risk of a significant over spend in 2015-16.</w:t>
      </w:r>
    </w:p>
    <w:p w:rsidR="006E5829" w:rsidRDefault="006E5829" w:rsidP="00C767C6">
      <w:pPr>
        <w:ind w:right="304"/>
        <w:jc w:val="both"/>
      </w:pPr>
    </w:p>
    <w:p w:rsidR="006E5829" w:rsidRPr="00E53603" w:rsidRDefault="006E5829" w:rsidP="00A83ACC">
      <w:pPr>
        <w:tabs>
          <w:tab w:val="left" w:pos="1122"/>
        </w:tabs>
        <w:ind w:left="851" w:right="304" w:hanging="284"/>
        <w:jc w:val="both"/>
      </w:pPr>
      <w:r>
        <w:t xml:space="preserve">● </w:t>
      </w:r>
      <w:r>
        <w:tab/>
        <w:t xml:space="preserve">Public Health. </w:t>
      </w:r>
      <w:r w:rsidRPr="00E53603">
        <w:t>A nil variance is reported at year end, however this is a result of adjustments as detailed below.</w:t>
      </w:r>
    </w:p>
    <w:p w:rsidR="006E5829" w:rsidRPr="00E53603" w:rsidRDefault="006E5829" w:rsidP="00E53603">
      <w:pPr>
        <w:tabs>
          <w:tab w:val="left" w:pos="1122"/>
        </w:tabs>
        <w:ind w:left="1496" w:right="304" w:hanging="776"/>
        <w:jc w:val="both"/>
      </w:pPr>
    </w:p>
    <w:p w:rsidR="006E5829" w:rsidRPr="00E53603" w:rsidRDefault="006E5829" w:rsidP="0087231C">
      <w:pPr>
        <w:pStyle w:val="ListParagraph"/>
        <w:numPr>
          <w:ilvl w:val="1"/>
          <w:numId w:val="11"/>
        </w:numPr>
        <w:tabs>
          <w:tab w:val="left" w:pos="1122"/>
        </w:tabs>
        <w:ind w:right="304"/>
        <w:jc w:val="both"/>
      </w:pPr>
      <w:r w:rsidRPr="00E53603">
        <w:t>The outturn underspend of £593k against Public Health Grant was reported at quarter 3 and remains unchanged.</w:t>
      </w:r>
    </w:p>
    <w:p w:rsidR="006E5829" w:rsidRPr="00E53603" w:rsidRDefault="006E5829" w:rsidP="00E53603">
      <w:pPr>
        <w:tabs>
          <w:tab w:val="left" w:pos="1122"/>
        </w:tabs>
        <w:ind w:left="1496" w:right="304" w:hanging="776"/>
        <w:jc w:val="both"/>
      </w:pPr>
    </w:p>
    <w:p w:rsidR="006E5829" w:rsidRPr="00E53603" w:rsidRDefault="006E5829" w:rsidP="0087231C">
      <w:pPr>
        <w:pStyle w:val="ListParagraph"/>
        <w:numPr>
          <w:ilvl w:val="1"/>
          <w:numId w:val="11"/>
        </w:numPr>
        <w:tabs>
          <w:tab w:val="left" w:pos="1122"/>
        </w:tabs>
        <w:ind w:right="304"/>
        <w:jc w:val="both"/>
      </w:pPr>
      <w:r w:rsidRPr="00E53603">
        <w:t>Of the</w:t>
      </w:r>
      <w:r>
        <w:t xml:space="preserve"> </w:t>
      </w:r>
      <w:r w:rsidRPr="00E53603">
        <w:t>underspend, £351k is reflected within Adult Social Care representing the wider public health responsibilities being delivered.</w:t>
      </w:r>
    </w:p>
    <w:p w:rsidR="006E5829" w:rsidRPr="00E53603" w:rsidRDefault="006E5829" w:rsidP="00E53603">
      <w:pPr>
        <w:tabs>
          <w:tab w:val="left" w:pos="1122"/>
        </w:tabs>
        <w:ind w:left="1496" w:right="304" w:hanging="776"/>
        <w:jc w:val="both"/>
      </w:pPr>
    </w:p>
    <w:p w:rsidR="006E5829" w:rsidRPr="00E53603" w:rsidRDefault="006E5829" w:rsidP="0087231C">
      <w:pPr>
        <w:pStyle w:val="ListParagraph"/>
        <w:numPr>
          <w:ilvl w:val="1"/>
          <w:numId w:val="11"/>
        </w:numPr>
        <w:tabs>
          <w:tab w:val="left" w:pos="1122"/>
        </w:tabs>
        <w:ind w:right="304"/>
        <w:jc w:val="both"/>
      </w:pPr>
      <w:r w:rsidRPr="00E53603">
        <w:t>The balance of £241k will be transferred into the specific Public Health Reserve to fund, taking the total to £907k at 31st March 2015</w:t>
      </w:r>
    </w:p>
    <w:p w:rsidR="006E5829" w:rsidRDefault="006E5829" w:rsidP="00C767C6">
      <w:pPr>
        <w:tabs>
          <w:tab w:val="left" w:pos="1122"/>
        </w:tabs>
        <w:ind w:left="1496" w:right="304" w:hanging="776"/>
        <w:jc w:val="both"/>
      </w:pPr>
    </w:p>
    <w:p w:rsidR="006E5829" w:rsidRPr="00DC6581" w:rsidRDefault="006E5829" w:rsidP="00A83ACC">
      <w:pPr>
        <w:spacing w:after="240"/>
        <w:ind w:left="851" w:right="306" w:hanging="284"/>
        <w:jc w:val="both"/>
      </w:pPr>
      <w:r>
        <w:t>●</w:t>
      </w:r>
      <w:r>
        <w:tab/>
      </w:r>
      <w:r w:rsidRPr="00DC6581">
        <w:t>Community and Culture is reporting an underspend of £</w:t>
      </w:r>
      <w:r>
        <w:t>224</w:t>
      </w:r>
      <w:r w:rsidRPr="00DC6581">
        <w:t>k against a total net budget of £6.629m.  The underspend of £</w:t>
      </w:r>
      <w:r>
        <w:t>224</w:t>
      </w:r>
      <w:r w:rsidRPr="00DC6581">
        <w:t>k largely relates to a lower level of repairs and maintenance costs on libraries and leisure (£90k)</w:t>
      </w:r>
      <w:r>
        <w:t>,</w:t>
      </w:r>
      <w:r w:rsidRPr="00DC6581">
        <w:t xml:space="preserve"> senior management vacancy for 3months in Community Sector Support (£26k)</w:t>
      </w:r>
      <w:r>
        <w:t xml:space="preserve"> and unspent grants of £122k</w:t>
      </w:r>
      <w:r w:rsidRPr="00DC6581">
        <w:t>.</w:t>
      </w:r>
    </w:p>
    <w:p w:rsidR="006E5829" w:rsidRPr="00E53603" w:rsidRDefault="006E5829" w:rsidP="00A83ACC">
      <w:pPr>
        <w:numPr>
          <w:ilvl w:val="0"/>
          <w:numId w:val="7"/>
        </w:numPr>
        <w:tabs>
          <w:tab w:val="clear" w:pos="1440"/>
          <w:tab w:val="num" w:pos="1134"/>
        </w:tabs>
        <w:ind w:left="851" w:right="304" w:hanging="284"/>
        <w:jc w:val="both"/>
      </w:pPr>
      <w:r w:rsidRPr="00E53603">
        <w:t>Adult Services is underspent by £</w:t>
      </w:r>
      <w:r>
        <w:t>5</w:t>
      </w:r>
      <w:r w:rsidRPr="00E53603">
        <w:t xml:space="preserve">4k. This position reflects overspends across the directorate including those associated with unfunded legislative requirements around Deprivation of Liberty Safeguards (DoLs) and Mental Health in part as a result of Harrow Clinical Commissioning Groups decision to close Roxbourne (resulting in increased costs for social care), however these pressures were mitigated by fully utilising the </w:t>
      </w:r>
      <w:r>
        <w:t>Business R</w:t>
      </w:r>
      <w:r w:rsidRPr="00E53603">
        <w:t xml:space="preserve">isk reserve </w:t>
      </w:r>
      <w:r>
        <w:t xml:space="preserve">of £0.750m </w:t>
      </w:r>
      <w:r w:rsidRPr="00E53603">
        <w:t>set aside for the purpose of continuing health care cases, use of the public health grant to fund wider determinants of health and other health funding.</w:t>
      </w:r>
    </w:p>
    <w:p w:rsidR="006E5829" w:rsidRDefault="006E5829" w:rsidP="00C767C6">
      <w:pPr>
        <w:tabs>
          <w:tab w:val="num" w:pos="748"/>
        </w:tabs>
        <w:ind w:left="1122" w:right="304" w:hanging="748"/>
        <w:jc w:val="both"/>
      </w:pPr>
    </w:p>
    <w:p w:rsidR="006E5829" w:rsidRPr="000F0C4F" w:rsidRDefault="006E5829" w:rsidP="0087231C">
      <w:pPr>
        <w:pStyle w:val="ListParagraph"/>
        <w:numPr>
          <w:ilvl w:val="0"/>
          <w:numId w:val="9"/>
        </w:numPr>
        <w:ind w:right="304"/>
        <w:jc w:val="both"/>
      </w:pPr>
      <w:r w:rsidRPr="000F0C4F">
        <w:t>The directorate over spend is increased to £1.</w:t>
      </w:r>
      <w:r>
        <w:t>118</w:t>
      </w:r>
      <w:r w:rsidRPr="000F0C4F">
        <w:t>m after accounting for carry forwards of £129k which this report recommends (Appendix 2).</w:t>
      </w:r>
    </w:p>
    <w:p w:rsidR="006E5829" w:rsidRDefault="006E5829" w:rsidP="00C767C6">
      <w:pPr>
        <w:ind w:right="304"/>
        <w:jc w:val="both"/>
      </w:pPr>
    </w:p>
    <w:p w:rsidR="006E5829" w:rsidRPr="00785881" w:rsidRDefault="006E5829" w:rsidP="00785881">
      <w:pPr>
        <w:spacing w:after="200" w:line="276" w:lineRule="auto"/>
        <w:rPr>
          <w:b/>
          <w:bCs/>
        </w:rPr>
      </w:pPr>
      <w:r w:rsidRPr="00785881">
        <w:rPr>
          <w:b/>
          <w:bCs/>
        </w:rPr>
        <w:t>Children’s and Families</w:t>
      </w:r>
    </w:p>
    <w:p w:rsidR="006E5829" w:rsidRPr="00753A35" w:rsidRDefault="006E5829" w:rsidP="00753A35">
      <w:pPr>
        <w:pStyle w:val="ListParagraph"/>
        <w:numPr>
          <w:ilvl w:val="0"/>
          <w:numId w:val="9"/>
        </w:numPr>
        <w:spacing w:after="200" w:line="276" w:lineRule="auto"/>
      </w:pPr>
      <w:r w:rsidRPr="00753A35">
        <w:t>The outturn position for Children and Families is an under spend of £0.679m. The key reasons are detailed below:</w:t>
      </w:r>
    </w:p>
    <w:p w:rsidR="006E5829" w:rsidRPr="00785881" w:rsidRDefault="006E5829" w:rsidP="00A83ACC">
      <w:pPr>
        <w:numPr>
          <w:ilvl w:val="0"/>
          <w:numId w:val="10"/>
        </w:numPr>
        <w:spacing w:after="200" w:line="276" w:lineRule="auto"/>
        <w:ind w:left="851" w:hanging="284"/>
        <w:rPr>
          <w:sz w:val="20"/>
          <w:szCs w:val="20"/>
          <w:lang w:eastAsia="en-GB"/>
        </w:rPr>
      </w:pPr>
      <w:r w:rsidRPr="002E5342">
        <w:t xml:space="preserve">Commissioning and Schools </w:t>
      </w:r>
      <w:r>
        <w:t xml:space="preserve">is </w:t>
      </w:r>
      <w:r w:rsidRPr="002E5342">
        <w:t>under spent by £0.860m</w:t>
      </w:r>
      <w:r w:rsidRPr="00785881">
        <w:t xml:space="preserve">. </w:t>
      </w:r>
      <w:r w:rsidRPr="00785881">
        <w:rPr>
          <w:lang w:eastAsia="en-GB"/>
        </w:rPr>
        <w:t>Under spend</w:t>
      </w:r>
      <w:r>
        <w:rPr>
          <w:lang w:eastAsia="en-GB"/>
        </w:rPr>
        <w:t>s</w:t>
      </w:r>
      <w:r w:rsidRPr="00785881">
        <w:rPr>
          <w:lang w:eastAsia="en-GB"/>
        </w:rPr>
        <w:t xml:space="preserve"> relating to Troubled Families Grant (£0.573m) and Early Years Pupil Premium and Integrated Review Grant (£18k) have been requested for carry forward. The remainder of the under spend relates to the closure of the Teachers Centre in July (£70k), a recharge to Whitchurch Infant School for the Early Years Professional Lead's cover for the Head Teacher (£33k), Service Manager and Senior Commissioner posts being held vacant for part of the year (£104k) and 0.5 FTE Health Post at Ealing Hospital NHS Trust not being filled (£44k).</w:t>
      </w:r>
    </w:p>
    <w:p w:rsidR="006E5829" w:rsidRPr="00785881" w:rsidRDefault="006E5829" w:rsidP="00A83ACC">
      <w:pPr>
        <w:numPr>
          <w:ilvl w:val="0"/>
          <w:numId w:val="10"/>
        </w:numPr>
        <w:spacing w:after="200" w:line="276" w:lineRule="auto"/>
        <w:ind w:left="851" w:hanging="284"/>
        <w:rPr>
          <w:lang w:eastAsia="en-GB"/>
        </w:rPr>
      </w:pPr>
      <w:r>
        <w:t xml:space="preserve">The </w:t>
      </w:r>
      <w:r w:rsidRPr="002E5342">
        <w:t xml:space="preserve">Early Intervention Service </w:t>
      </w:r>
      <w:r>
        <w:t xml:space="preserve">is </w:t>
      </w:r>
      <w:r w:rsidRPr="002E5342">
        <w:t>under spent by £276k.</w:t>
      </w:r>
      <w:r w:rsidRPr="00785881">
        <w:rPr>
          <w:lang w:eastAsia="en-GB"/>
        </w:rPr>
        <w:t>The under spend results from the Divisional Director and Service Manager posts being held vacant for part of the year (£98k), a Team Manager's post being held vacant for part of the year and a Counsellor post being funded by Troubled Families Grant (£79k) and an under spend on Children's Centres running costs (£98k).</w:t>
      </w:r>
    </w:p>
    <w:p w:rsidR="006E5829" w:rsidRPr="00785881" w:rsidRDefault="006E5829" w:rsidP="00A83ACC">
      <w:pPr>
        <w:numPr>
          <w:ilvl w:val="0"/>
          <w:numId w:val="10"/>
        </w:numPr>
        <w:spacing w:after="200" w:line="276" w:lineRule="auto"/>
        <w:ind w:left="851" w:hanging="284"/>
        <w:rPr>
          <w:lang w:eastAsia="en-GB"/>
        </w:rPr>
      </w:pPr>
      <w:r w:rsidRPr="002E5342">
        <w:t xml:space="preserve">Targeted Services </w:t>
      </w:r>
      <w:r>
        <w:t xml:space="preserve">is </w:t>
      </w:r>
      <w:r w:rsidRPr="002E5342">
        <w:t>over spent by £1.090m.</w:t>
      </w:r>
      <w:r w:rsidRPr="00785881">
        <w:rPr>
          <w:lang w:eastAsia="en-GB"/>
        </w:rPr>
        <w:t>The overspend results from agency staffing being used to cover vacancies, sickness and additional caseloads (£437k) and non-staffing mainly in children’s placements and other client spend (£0.700m). A Social Care Innovation Grant has been requested for carry forward (£47k)</w:t>
      </w:r>
    </w:p>
    <w:p w:rsidR="006E5829" w:rsidRPr="00785881" w:rsidRDefault="006E5829" w:rsidP="00A83ACC">
      <w:pPr>
        <w:numPr>
          <w:ilvl w:val="0"/>
          <w:numId w:val="10"/>
        </w:numPr>
        <w:spacing w:after="200" w:line="276" w:lineRule="auto"/>
        <w:ind w:left="851" w:hanging="284"/>
        <w:rPr>
          <w:lang w:eastAsia="en-GB"/>
        </w:rPr>
      </w:pPr>
      <w:r w:rsidRPr="002E5342">
        <w:t xml:space="preserve">Management and Business Support </w:t>
      </w:r>
      <w:r>
        <w:t>is</w:t>
      </w:r>
      <w:r w:rsidRPr="002E5342">
        <w:t>under spent by £1.117m</w:t>
      </w:r>
      <w:r w:rsidRPr="00785881">
        <w:t xml:space="preserve">. </w:t>
      </w:r>
      <w:r w:rsidRPr="00785881">
        <w:rPr>
          <w:lang w:eastAsia="en-GB"/>
        </w:rPr>
        <w:t>Uncommitted budgets and unringfenced Adoption Reform and SEND Implementation Grants were held as management actions to offset pressures across the Directorate (£0.578m). Early savings for 2015/16 were identified and held as a one off in year action to offset pressure on the placements budget (£365k). There was an under spend in Business Support resulting from 3 posts being held vacant for the year and an under spend on postage and printing (£180k).</w:t>
      </w:r>
    </w:p>
    <w:p w:rsidR="006E5829" w:rsidRPr="00785881" w:rsidRDefault="006E5829" w:rsidP="00A83ACC">
      <w:pPr>
        <w:numPr>
          <w:ilvl w:val="0"/>
          <w:numId w:val="10"/>
        </w:numPr>
        <w:spacing w:after="200" w:line="276" w:lineRule="auto"/>
        <w:ind w:left="851" w:hanging="284"/>
        <w:rPr>
          <w:lang w:eastAsia="en-GB"/>
        </w:rPr>
      </w:pPr>
      <w:r w:rsidRPr="002E5342">
        <w:t xml:space="preserve">Special Needs </w:t>
      </w:r>
      <w:r>
        <w:t xml:space="preserve">is </w:t>
      </w:r>
      <w:r w:rsidRPr="002E5342">
        <w:t>over spent by £0.525m.</w:t>
      </w:r>
      <w:r w:rsidRPr="00785881">
        <w:rPr>
          <w:lang w:eastAsia="en-GB"/>
        </w:rPr>
        <w:t xml:space="preserve">The overspend is in two main areas. Special Needs Transport from delays in delivering MTFS savings and growth in demand (£409k) and Children with Disability Client costs (£313k). A carry forward of SEN Reform grant has been requested (£205k). </w:t>
      </w:r>
    </w:p>
    <w:p w:rsidR="006E5829" w:rsidRPr="000F0C4F" w:rsidRDefault="006E5829" w:rsidP="0087231C">
      <w:pPr>
        <w:pStyle w:val="ListParagraph"/>
        <w:numPr>
          <w:ilvl w:val="0"/>
          <w:numId w:val="9"/>
        </w:numPr>
        <w:spacing w:after="200" w:line="276" w:lineRule="auto"/>
      </w:pPr>
      <w:r w:rsidRPr="000F0C4F">
        <w:t>The Directorate under spend of £0.6</w:t>
      </w:r>
      <w:r>
        <w:t>79</w:t>
      </w:r>
      <w:r w:rsidRPr="000F0C4F">
        <w:t>m becomes an overspend of £1</w:t>
      </w:r>
      <w:r>
        <w:t>64</w:t>
      </w:r>
      <w:r w:rsidRPr="000F0C4F">
        <w:t>k after accounting for requested carry forwards in relation to Social Care Innovation Grant (£47k), Troubled Families Grant (£0.573m), Early Years Pupil Premium and Integrated Review Grant (£18k) and SEN Reform Grant (£205k).</w:t>
      </w:r>
    </w:p>
    <w:p w:rsidR="006E5829" w:rsidRDefault="006E5829" w:rsidP="00F86A36">
      <w:pPr>
        <w:spacing w:after="240"/>
        <w:ind w:right="306"/>
        <w:rPr>
          <w:b/>
          <w:bCs/>
        </w:rPr>
      </w:pPr>
      <w:r w:rsidRPr="00FA23DE">
        <w:rPr>
          <w:b/>
          <w:bCs/>
        </w:rPr>
        <w:t>I</w:t>
      </w:r>
      <w:r>
        <w:rPr>
          <w:b/>
          <w:bCs/>
        </w:rPr>
        <w:t xml:space="preserve">NFLATION </w:t>
      </w:r>
    </w:p>
    <w:p w:rsidR="006E5829" w:rsidRPr="000F0C4F" w:rsidRDefault="006E5829" w:rsidP="0087231C">
      <w:pPr>
        <w:pStyle w:val="ListParagraph"/>
        <w:numPr>
          <w:ilvl w:val="0"/>
          <w:numId w:val="9"/>
        </w:numPr>
        <w:spacing w:after="240"/>
        <w:ind w:right="306"/>
      </w:pPr>
      <w:r w:rsidRPr="000F0C4F">
        <w:t>The Pay and Energy Inflation reserve stood at £1.4m. £</w:t>
      </w:r>
      <w:r>
        <w:t>0.</w:t>
      </w:r>
      <w:r w:rsidRPr="000F0C4F">
        <w:t>734</w:t>
      </w:r>
      <w:r>
        <w:t>m</w:t>
      </w:r>
      <w:r w:rsidRPr="000F0C4F">
        <w:t xml:space="preserve"> has been allocated to fund the pay award leaving an underspend of £</w:t>
      </w:r>
      <w:r>
        <w:t>0.</w:t>
      </w:r>
      <w:r w:rsidRPr="000F0C4F">
        <w:t>666</w:t>
      </w:r>
      <w:r>
        <w:t>m</w:t>
      </w:r>
      <w:r w:rsidRPr="000F0C4F">
        <w:t xml:space="preserve"> which contributes to the overall position.  The contingency stands at £350k for 2015/16 to cover additional utility inflation pressures. </w:t>
      </w:r>
    </w:p>
    <w:p w:rsidR="006E5829" w:rsidRPr="00F86A36" w:rsidRDefault="006E5829" w:rsidP="00F86A36">
      <w:pPr>
        <w:spacing w:after="240"/>
        <w:ind w:right="306"/>
        <w:rPr>
          <w:b/>
          <w:bCs/>
        </w:rPr>
      </w:pPr>
      <w:r w:rsidRPr="00F86A36">
        <w:rPr>
          <w:b/>
          <w:bCs/>
        </w:rPr>
        <w:t>CORPORATE ITEMS</w:t>
      </w:r>
    </w:p>
    <w:p w:rsidR="006E5829" w:rsidRPr="000F0C4F" w:rsidRDefault="006E5829" w:rsidP="0087231C">
      <w:pPr>
        <w:pStyle w:val="ListParagraph"/>
        <w:numPr>
          <w:ilvl w:val="0"/>
          <w:numId w:val="9"/>
        </w:numPr>
        <w:tabs>
          <w:tab w:val="num" w:pos="709"/>
        </w:tabs>
        <w:spacing w:after="240"/>
        <w:ind w:right="306"/>
      </w:pPr>
      <w:r w:rsidRPr="000F0C4F">
        <w:t>Centrally held corporate items give an underspend of £1.27</w:t>
      </w:r>
      <w:r>
        <w:t>8</w:t>
      </w:r>
      <w:r w:rsidRPr="000F0C4F">
        <w:t>m to contribute to the overall position. £</w:t>
      </w:r>
      <w:r>
        <w:t>0.</w:t>
      </w:r>
      <w:r w:rsidRPr="000F0C4F">
        <w:t>757</w:t>
      </w:r>
      <w:r>
        <w:t>m</w:t>
      </w:r>
      <w:r w:rsidRPr="000F0C4F">
        <w:t xml:space="preserve"> relates to additional Communities and Local Government grants, principally a s31 grant to compensate for lost business rates as a result of the autumn statement 2013 measures. £290k relates to additional Education Services Grant. £2</w:t>
      </w:r>
      <w:r>
        <w:t>31</w:t>
      </w:r>
      <w:r w:rsidRPr="000F0C4F">
        <w:t>k relates to a surplus on the Goods Received, Invoice Received suspense code.</w:t>
      </w:r>
    </w:p>
    <w:p w:rsidR="006E5829" w:rsidRPr="0057184D" w:rsidRDefault="006E5829" w:rsidP="00C767C6">
      <w:pPr>
        <w:ind w:right="304"/>
        <w:jc w:val="both"/>
        <w:rPr>
          <w:b/>
          <w:bCs/>
        </w:rPr>
      </w:pPr>
      <w:r w:rsidRPr="00FA23DE">
        <w:rPr>
          <w:b/>
          <w:bCs/>
        </w:rPr>
        <w:t>C</w:t>
      </w:r>
      <w:r>
        <w:rPr>
          <w:b/>
          <w:bCs/>
        </w:rPr>
        <w:t>ONTINGENCYAND RESERVES</w:t>
      </w:r>
    </w:p>
    <w:p w:rsidR="006E5829" w:rsidRPr="000F0C4F" w:rsidRDefault="006E5829" w:rsidP="0087231C">
      <w:pPr>
        <w:pStyle w:val="ListParagraph"/>
        <w:numPr>
          <w:ilvl w:val="0"/>
          <w:numId w:val="9"/>
        </w:numPr>
        <w:ind w:right="304"/>
        <w:jc w:val="both"/>
      </w:pPr>
      <w:r w:rsidRPr="000F0C4F">
        <w:t>The main Contingencies and Reserves are summarised in table 2 below and supported by a narrative explanation:</w:t>
      </w:r>
    </w:p>
    <w:p w:rsidR="006E5829" w:rsidRDefault="006E5829" w:rsidP="00C767C6">
      <w:pPr>
        <w:ind w:left="561" w:right="304" w:hanging="561"/>
        <w:jc w:val="both"/>
      </w:pPr>
    </w:p>
    <w:p w:rsidR="006E5829" w:rsidRDefault="006E5829" w:rsidP="00C767C6">
      <w:pPr>
        <w:ind w:left="561" w:right="304" w:hanging="561"/>
        <w:jc w:val="both"/>
      </w:pPr>
    </w:p>
    <w:p w:rsidR="006E5829" w:rsidRDefault="006E5829" w:rsidP="00C767C6">
      <w:pPr>
        <w:ind w:left="561" w:right="304" w:hanging="561"/>
        <w:jc w:val="both"/>
        <w:rPr>
          <w:b/>
          <w:bCs/>
        </w:rPr>
      </w:pPr>
      <w:r>
        <w:tab/>
      </w:r>
      <w:r w:rsidRPr="00F86A36">
        <w:rPr>
          <w:b/>
          <w:bCs/>
        </w:rPr>
        <w:t xml:space="preserve">Table </w:t>
      </w:r>
      <w:r>
        <w:rPr>
          <w:b/>
          <w:bCs/>
        </w:rPr>
        <w:t>2</w:t>
      </w:r>
      <w:r w:rsidRPr="00F86A36">
        <w:rPr>
          <w:b/>
          <w:bCs/>
        </w:rPr>
        <w:t>: Contingencies and Reserves 2014/15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0"/>
        <w:gridCol w:w="1616"/>
        <w:gridCol w:w="1920"/>
        <w:gridCol w:w="1255"/>
        <w:gridCol w:w="1508"/>
      </w:tblGrid>
      <w:tr w:rsidR="006E5829">
        <w:tc>
          <w:tcPr>
            <w:tcW w:w="2978" w:type="dxa"/>
          </w:tcPr>
          <w:p w:rsidR="006E5829" w:rsidRPr="00874570" w:rsidRDefault="006E5829" w:rsidP="00874570">
            <w:pPr>
              <w:ind w:right="304"/>
              <w:jc w:val="both"/>
            </w:pPr>
          </w:p>
        </w:tc>
        <w:tc>
          <w:tcPr>
            <w:tcW w:w="1736" w:type="dxa"/>
          </w:tcPr>
          <w:p w:rsidR="006E5829" w:rsidRPr="00874570" w:rsidRDefault="006E5829" w:rsidP="00874570">
            <w:pPr>
              <w:ind w:right="304"/>
              <w:jc w:val="both"/>
              <w:rPr>
                <w:b/>
                <w:bCs/>
              </w:rPr>
            </w:pPr>
            <w:r w:rsidRPr="00874570">
              <w:rPr>
                <w:b/>
                <w:bCs/>
              </w:rPr>
              <w:t>Budget Available 2014/15</w:t>
            </w:r>
          </w:p>
        </w:tc>
        <w:tc>
          <w:tcPr>
            <w:tcW w:w="1198" w:type="dxa"/>
          </w:tcPr>
          <w:p w:rsidR="006E5829" w:rsidRPr="00874570" w:rsidRDefault="006E5829" w:rsidP="00874570">
            <w:pPr>
              <w:ind w:right="304"/>
              <w:rPr>
                <w:b/>
                <w:bCs/>
              </w:rPr>
            </w:pPr>
            <w:r w:rsidRPr="00874570">
              <w:rPr>
                <w:b/>
                <w:bCs/>
              </w:rPr>
              <w:t>In year contribution</w:t>
            </w:r>
          </w:p>
        </w:tc>
        <w:tc>
          <w:tcPr>
            <w:tcW w:w="1566" w:type="dxa"/>
          </w:tcPr>
          <w:p w:rsidR="006E5829" w:rsidRPr="00874570" w:rsidRDefault="006E5829" w:rsidP="00874570">
            <w:pPr>
              <w:ind w:right="304"/>
              <w:rPr>
                <w:b/>
                <w:bCs/>
              </w:rPr>
            </w:pPr>
            <w:r w:rsidRPr="00874570">
              <w:rPr>
                <w:b/>
                <w:bCs/>
              </w:rPr>
              <w:t>In year draw down</w:t>
            </w:r>
          </w:p>
        </w:tc>
        <w:tc>
          <w:tcPr>
            <w:tcW w:w="1818" w:type="dxa"/>
          </w:tcPr>
          <w:p w:rsidR="006E5829" w:rsidRPr="00874570" w:rsidRDefault="006E5829" w:rsidP="00874570">
            <w:pPr>
              <w:ind w:right="304"/>
              <w:rPr>
                <w:b/>
                <w:bCs/>
              </w:rPr>
            </w:pPr>
            <w:r w:rsidRPr="00874570">
              <w:rPr>
                <w:b/>
                <w:bCs/>
              </w:rPr>
              <w:t>Budget to carry forward into 2015/16</w:t>
            </w:r>
          </w:p>
        </w:tc>
      </w:tr>
      <w:tr w:rsidR="006E5829">
        <w:tc>
          <w:tcPr>
            <w:tcW w:w="2978" w:type="dxa"/>
          </w:tcPr>
          <w:p w:rsidR="006E5829" w:rsidRPr="00874570" w:rsidRDefault="006E5829" w:rsidP="00874570">
            <w:pPr>
              <w:ind w:right="304"/>
              <w:jc w:val="both"/>
            </w:pPr>
          </w:p>
        </w:tc>
        <w:tc>
          <w:tcPr>
            <w:tcW w:w="1736" w:type="dxa"/>
          </w:tcPr>
          <w:p w:rsidR="006E5829" w:rsidRPr="00874570" w:rsidRDefault="006E5829" w:rsidP="00874570">
            <w:pPr>
              <w:ind w:right="304"/>
              <w:jc w:val="center"/>
              <w:rPr>
                <w:b/>
                <w:bCs/>
              </w:rPr>
            </w:pPr>
            <w:r w:rsidRPr="00874570">
              <w:rPr>
                <w:b/>
                <w:bCs/>
              </w:rPr>
              <w:t>£’000</w:t>
            </w:r>
          </w:p>
        </w:tc>
        <w:tc>
          <w:tcPr>
            <w:tcW w:w="1198" w:type="dxa"/>
          </w:tcPr>
          <w:p w:rsidR="006E5829" w:rsidRPr="00874570" w:rsidRDefault="006E5829" w:rsidP="00874570">
            <w:pPr>
              <w:ind w:right="304"/>
              <w:jc w:val="center"/>
              <w:rPr>
                <w:b/>
                <w:bCs/>
              </w:rPr>
            </w:pPr>
            <w:r w:rsidRPr="00874570">
              <w:rPr>
                <w:b/>
                <w:bCs/>
              </w:rPr>
              <w:t>£’000</w:t>
            </w:r>
          </w:p>
        </w:tc>
        <w:tc>
          <w:tcPr>
            <w:tcW w:w="1566" w:type="dxa"/>
          </w:tcPr>
          <w:p w:rsidR="006E5829" w:rsidRPr="00874570" w:rsidRDefault="006E5829" w:rsidP="00874570">
            <w:pPr>
              <w:ind w:right="304"/>
              <w:jc w:val="center"/>
              <w:rPr>
                <w:b/>
                <w:bCs/>
              </w:rPr>
            </w:pPr>
            <w:r w:rsidRPr="00874570">
              <w:rPr>
                <w:b/>
                <w:bCs/>
              </w:rPr>
              <w:t>£’000</w:t>
            </w:r>
          </w:p>
        </w:tc>
        <w:tc>
          <w:tcPr>
            <w:tcW w:w="1818" w:type="dxa"/>
          </w:tcPr>
          <w:p w:rsidR="006E5829" w:rsidRPr="00874570" w:rsidRDefault="006E5829" w:rsidP="00874570">
            <w:pPr>
              <w:ind w:right="304"/>
              <w:jc w:val="center"/>
              <w:rPr>
                <w:b/>
                <w:bCs/>
              </w:rPr>
            </w:pPr>
            <w:r w:rsidRPr="00874570">
              <w:rPr>
                <w:b/>
                <w:bCs/>
              </w:rPr>
              <w:t>£’000</w:t>
            </w:r>
          </w:p>
        </w:tc>
      </w:tr>
      <w:tr w:rsidR="006E5829">
        <w:tc>
          <w:tcPr>
            <w:tcW w:w="2978" w:type="dxa"/>
          </w:tcPr>
          <w:p w:rsidR="006E5829" w:rsidRPr="00874570" w:rsidRDefault="006E5829" w:rsidP="00874570">
            <w:pPr>
              <w:ind w:right="304"/>
              <w:jc w:val="both"/>
            </w:pPr>
            <w:r w:rsidRPr="00874570">
              <w:t>Unforeseen Contingency</w:t>
            </w:r>
          </w:p>
        </w:tc>
        <w:tc>
          <w:tcPr>
            <w:tcW w:w="1736" w:type="dxa"/>
          </w:tcPr>
          <w:p w:rsidR="006E5829" w:rsidRPr="00874570" w:rsidRDefault="006E5829" w:rsidP="00874570">
            <w:pPr>
              <w:ind w:right="304"/>
              <w:jc w:val="both"/>
            </w:pPr>
            <w:r w:rsidRPr="00874570">
              <w:t>921</w:t>
            </w:r>
          </w:p>
        </w:tc>
        <w:tc>
          <w:tcPr>
            <w:tcW w:w="1198" w:type="dxa"/>
          </w:tcPr>
          <w:p w:rsidR="006E5829" w:rsidRPr="00874570" w:rsidRDefault="006E5829" w:rsidP="00874570">
            <w:pPr>
              <w:ind w:right="304"/>
              <w:jc w:val="both"/>
            </w:pPr>
          </w:p>
        </w:tc>
        <w:tc>
          <w:tcPr>
            <w:tcW w:w="1566" w:type="dxa"/>
          </w:tcPr>
          <w:p w:rsidR="006E5829" w:rsidRPr="00874570" w:rsidRDefault="006E5829" w:rsidP="00874570">
            <w:pPr>
              <w:ind w:right="304"/>
              <w:jc w:val="both"/>
            </w:pPr>
            <w:r w:rsidRPr="00874570">
              <w:t>0</w:t>
            </w:r>
          </w:p>
        </w:tc>
        <w:tc>
          <w:tcPr>
            <w:tcW w:w="1818" w:type="dxa"/>
          </w:tcPr>
          <w:p w:rsidR="006E5829" w:rsidRPr="00874570" w:rsidRDefault="006E5829" w:rsidP="00874570">
            <w:pPr>
              <w:ind w:right="304"/>
              <w:jc w:val="both"/>
            </w:pPr>
            <w:r w:rsidRPr="00874570">
              <w:t>N/A</w:t>
            </w:r>
          </w:p>
        </w:tc>
      </w:tr>
      <w:tr w:rsidR="006E5829">
        <w:tc>
          <w:tcPr>
            <w:tcW w:w="2978" w:type="dxa"/>
          </w:tcPr>
          <w:p w:rsidR="006E5829" w:rsidRPr="00874570" w:rsidRDefault="006E5829" w:rsidP="00874570">
            <w:pPr>
              <w:ind w:right="304"/>
              <w:jc w:val="both"/>
            </w:pPr>
            <w:r w:rsidRPr="00874570">
              <w:t>Transformation and Priority Initiatives Fund (TPIF)</w:t>
            </w:r>
          </w:p>
        </w:tc>
        <w:tc>
          <w:tcPr>
            <w:tcW w:w="1736" w:type="dxa"/>
          </w:tcPr>
          <w:p w:rsidR="006E5829" w:rsidRPr="00874570" w:rsidRDefault="006E5829" w:rsidP="00874570">
            <w:pPr>
              <w:ind w:right="304"/>
              <w:jc w:val="both"/>
            </w:pPr>
            <w:r w:rsidRPr="00874570">
              <w:t>3,370</w:t>
            </w:r>
          </w:p>
        </w:tc>
        <w:tc>
          <w:tcPr>
            <w:tcW w:w="1198" w:type="dxa"/>
          </w:tcPr>
          <w:p w:rsidR="006E5829" w:rsidRPr="00874570" w:rsidRDefault="006E5829" w:rsidP="00874570">
            <w:pPr>
              <w:ind w:right="304"/>
              <w:jc w:val="both"/>
            </w:pPr>
            <w:r w:rsidRPr="00874570">
              <w:t>801</w:t>
            </w:r>
          </w:p>
        </w:tc>
        <w:tc>
          <w:tcPr>
            <w:tcW w:w="1566" w:type="dxa"/>
          </w:tcPr>
          <w:p w:rsidR="006E5829" w:rsidRPr="00874570" w:rsidRDefault="006E5829" w:rsidP="00874570">
            <w:pPr>
              <w:ind w:right="304"/>
              <w:jc w:val="both"/>
            </w:pPr>
            <w:r w:rsidRPr="00874570">
              <w:t>-352</w:t>
            </w:r>
          </w:p>
        </w:tc>
        <w:tc>
          <w:tcPr>
            <w:tcW w:w="1818" w:type="dxa"/>
          </w:tcPr>
          <w:p w:rsidR="006E5829" w:rsidRPr="00874570" w:rsidRDefault="006E5829" w:rsidP="00874570">
            <w:pPr>
              <w:ind w:right="304"/>
              <w:jc w:val="both"/>
            </w:pPr>
            <w:r w:rsidRPr="00874570">
              <w:t>3,819</w:t>
            </w:r>
          </w:p>
        </w:tc>
      </w:tr>
      <w:tr w:rsidR="006E5829">
        <w:tc>
          <w:tcPr>
            <w:tcW w:w="2978" w:type="dxa"/>
          </w:tcPr>
          <w:p w:rsidR="006E5829" w:rsidRPr="00874570" w:rsidRDefault="006E5829" w:rsidP="00874570">
            <w:pPr>
              <w:ind w:right="304"/>
              <w:jc w:val="both"/>
            </w:pPr>
            <w:r w:rsidRPr="00874570">
              <w:t>Business Risk Reserve</w:t>
            </w:r>
          </w:p>
        </w:tc>
        <w:tc>
          <w:tcPr>
            <w:tcW w:w="1736" w:type="dxa"/>
          </w:tcPr>
          <w:p w:rsidR="006E5829" w:rsidRPr="00874570" w:rsidRDefault="006E5829" w:rsidP="00874570">
            <w:pPr>
              <w:ind w:right="304"/>
              <w:jc w:val="both"/>
            </w:pPr>
            <w:r w:rsidRPr="00874570">
              <w:t>2,859</w:t>
            </w:r>
          </w:p>
        </w:tc>
        <w:tc>
          <w:tcPr>
            <w:tcW w:w="1198" w:type="dxa"/>
          </w:tcPr>
          <w:p w:rsidR="006E5829" w:rsidRPr="00874570" w:rsidRDefault="006E5829" w:rsidP="00874570">
            <w:pPr>
              <w:ind w:right="304"/>
              <w:jc w:val="both"/>
            </w:pPr>
          </w:p>
        </w:tc>
        <w:tc>
          <w:tcPr>
            <w:tcW w:w="1566" w:type="dxa"/>
          </w:tcPr>
          <w:p w:rsidR="006E5829" w:rsidRPr="00874570" w:rsidRDefault="006E5829" w:rsidP="00874570">
            <w:pPr>
              <w:ind w:right="304"/>
              <w:jc w:val="both"/>
            </w:pPr>
            <w:r w:rsidRPr="00874570">
              <w:t>-750</w:t>
            </w:r>
          </w:p>
        </w:tc>
        <w:tc>
          <w:tcPr>
            <w:tcW w:w="1818" w:type="dxa"/>
          </w:tcPr>
          <w:p w:rsidR="006E5829" w:rsidRPr="00874570" w:rsidRDefault="006E5829" w:rsidP="00874570">
            <w:pPr>
              <w:ind w:right="304"/>
              <w:jc w:val="both"/>
            </w:pPr>
            <w:r w:rsidRPr="00874570">
              <w:t>2,109</w:t>
            </w:r>
          </w:p>
        </w:tc>
      </w:tr>
      <w:tr w:rsidR="006E5829">
        <w:tc>
          <w:tcPr>
            <w:tcW w:w="2978" w:type="dxa"/>
          </w:tcPr>
          <w:p w:rsidR="006E5829" w:rsidRPr="00874570" w:rsidRDefault="006E5829" w:rsidP="00874570">
            <w:pPr>
              <w:ind w:right="304"/>
              <w:rPr>
                <w:rFonts w:eastAsia="Arial Unicode MS"/>
              </w:rPr>
            </w:pPr>
            <w:r w:rsidRPr="00874570">
              <w:t>Medium Term Financial Strategy Implementation Reserve</w:t>
            </w:r>
          </w:p>
        </w:tc>
        <w:tc>
          <w:tcPr>
            <w:tcW w:w="1736" w:type="dxa"/>
          </w:tcPr>
          <w:p w:rsidR="006E5829" w:rsidRPr="00874570" w:rsidRDefault="006E5829" w:rsidP="00874570">
            <w:pPr>
              <w:ind w:right="304"/>
              <w:jc w:val="both"/>
            </w:pPr>
            <w:r w:rsidRPr="00874570">
              <w:t>6,074</w:t>
            </w:r>
          </w:p>
        </w:tc>
        <w:tc>
          <w:tcPr>
            <w:tcW w:w="1198" w:type="dxa"/>
          </w:tcPr>
          <w:p w:rsidR="006E5829" w:rsidRPr="00874570" w:rsidRDefault="006E5829" w:rsidP="00874570">
            <w:pPr>
              <w:ind w:right="304"/>
              <w:jc w:val="both"/>
            </w:pPr>
            <w:r w:rsidRPr="00874570">
              <w:t>1,066</w:t>
            </w:r>
          </w:p>
        </w:tc>
        <w:tc>
          <w:tcPr>
            <w:tcW w:w="1566" w:type="dxa"/>
          </w:tcPr>
          <w:p w:rsidR="006E5829" w:rsidRPr="00874570" w:rsidRDefault="006E5829" w:rsidP="00874570">
            <w:pPr>
              <w:ind w:right="304"/>
              <w:jc w:val="both"/>
            </w:pPr>
            <w:r w:rsidRPr="00874570">
              <w:t>-4,390</w:t>
            </w:r>
          </w:p>
        </w:tc>
        <w:tc>
          <w:tcPr>
            <w:tcW w:w="1818" w:type="dxa"/>
          </w:tcPr>
          <w:p w:rsidR="006E5829" w:rsidRPr="00874570" w:rsidRDefault="006E5829" w:rsidP="00874570">
            <w:pPr>
              <w:ind w:right="304"/>
              <w:jc w:val="both"/>
            </w:pPr>
            <w:r w:rsidRPr="00874570">
              <w:t>2,750</w:t>
            </w:r>
          </w:p>
        </w:tc>
      </w:tr>
      <w:tr w:rsidR="006E5829">
        <w:tc>
          <w:tcPr>
            <w:tcW w:w="2978" w:type="dxa"/>
          </w:tcPr>
          <w:p w:rsidR="006E5829" w:rsidRPr="00874570" w:rsidRDefault="006E5829" w:rsidP="00874570">
            <w:pPr>
              <w:ind w:right="304"/>
              <w:jc w:val="both"/>
            </w:pPr>
            <w:r w:rsidRPr="00874570">
              <w:t>Carry Forward</w:t>
            </w:r>
          </w:p>
        </w:tc>
        <w:tc>
          <w:tcPr>
            <w:tcW w:w="1736" w:type="dxa"/>
          </w:tcPr>
          <w:p w:rsidR="006E5829" w:rsidRPr="00874570" w:rsidRDefault="006E5829" w:rsidP="00874570">
            <w:pPr>
              <w:ind w:right="304"/>
              <w:jc w:val="both"/>
            </w:pPr>
            <w:r w:rsidRPr="00874570">
              <w:t>4,203</w:t>
            </w:r>
          </w:p>
        </w:tc>
        <w:tc>
          <w:tcPr>
            <w:tcW w:w="1198" w:type="dxa"/>
          </w:tcPr>
          <w:p w:rsidR="006E5829" w:rsidRPr="00874570" w:rsidRDefault="006E5829" w:rsidP="00874570">
            <w:pPr>
              <w:ind w:right="304"/>
              <w:jc w:val="both"/>
            </w:pPr>
          </w:p>
        </w:tc>
        <w:tc>
          <w:tcPr>
            <w:tcW w:w="1566" w:type="dxa"/>
          </w:tcPr>
          <w:p w:rsidR="006E5829" w:rsidRPr="00874570" w:rsidRDefault="006E5829" w:rsidP="00874570">
            <w:pPr>
              <w:ind w:right="304"/>
              <w:jc w:val="both"/>
            </w:pPr>
            <w:r w:rsidRPr="00874570">
              <w:t>-4,008</w:t>
            </w:r>
          </w:p>
        </w:tc>
        <w:tc>
          <w:tcPr>
            <w:tcW w:w="1818" w:type="dxa"/>
          </w:tcPr>
          <w:p w:rsidR="006E5829" w:rsidRPr="00874570" w:rsidRDefault="006E5829" w:rsidP="00874570">
            <w:pPr>
              <w:ind w:right="304"/>
              <w:jc w:val="both"/>
            </w:pPr>
            <w:r w:rsidRPr="00874570">
              <w:t>195</w:t>
            </w:r>
          </w:p>
        </w:tc>
      </w:tr>
      <w:tr w:rsidR="006E5829">
        <w:tc>
          <w:tcPr>
            <w:tcW w:w="2978" w:type="dxa"/>
          </w:tcPr>
          <w:p w:rsidR="006E5829" w:rsidRPr="00874570" w:rsidRDefault="006E5829" w:rsidP="00874570">
            <w:pPr>
              <w:ind w:right="304"/>
              <w:jc w:val="both"/>
            </w:pPr>
            <w:r w:rsidRPr="00874570">
              <w:t>General Reserves</w:t>
            </w:r>
          </w:p>
        </w:tc>
        <w:tc>
          <w:tcPr>
            <w:tcW w:w="1736" w:type="dxa"/>
          </w:tcPr>
          <w:p w:rsidR="006E5829" w:rsidRPr="00874570" w:rsidRDefault="006E5829" w:rsidP="00874570">
            <w:pPr>
              <w:ind w:right="304"/>
              <w:jc w:val="both"/>
            </w:pPr>
            <w:r w:rsidRPr="00874570">
              <w:t>10,008</w:t>
            </w:r>
          </w:p>
        </w:tc>
        <w:tc>
          <w:tcPr>
            <w:tcW w:w="1198" w:type="dxa"/>
          </w:tcPr>
          <w:p w:rsidR="006E5829" w:rsidRPr="00874570" w:rsidRDefault="006E5829" w:rsidP="00874570">
            <w:pPr>
              <w:ind w:right="304"/>
              <w:jc w:val="both"/>
            </w:pPr>
          </w:p>
        </w:tc>
        <w:tc>
          <w:tcPr>
            <w:tcW w:w="1566" w:type="dxa"/>
          </w:tcPr>
          <w:p w:rsidR="006E5829" w:rsidRPr="00874570" w:rsidRDefault="006E5829" w:rsidP="00874570">
            <w:pPr>
              <w:ind w:right="304"/>
              <w:jc w:val="both"/>
            </w:pPr>
          </w:p>
        </w:tc>
        <w:tc>
          <w:tcPr>
            <w:tcW w:w="1818" w:type="dxa"/>
          </w:tcPr>
          <w:p w:rsidR="006E5829" w:rsidRPr="00874570" w:rsidRDefault="006E5829" w:rsidP="00874570">
            <w:pPr>
              <w:ind w:right="304"/>
              <w:jc w:val="both"/>
            </w:pPr>
            <w:r w:rsidRPr="00874570">
              <w:t>10,008</w:t>
            </w:r>
          </w:p>
        </w:tc>
      </w:tr>
      <w:tr w:rsidR="006E5829">
        <w:tc>
          <w:tcPr>
            <w:tcW w:w="2978" w:type="dxa"/>
          </w:tcPr>
          <w:p w:rsidR="006E5829" w:rsidRPr="00874570" w:rsidRDefault="006E5829" w:rsidP="00874570">
            <w:pPr>
              <w:ind w:right="304"/>
              <w:jc w:val="both"/>
            </w:pPr>
            <w:r w:rsidRPr="00874570">
              <w:t>TOTAL</w:t>
            </w:r>
          </w:p>
        </w:tc>
        <w:tc>
          <w:tcPr>
            <w:tcW w:w="1736" w:type="dxa"/>
          </w:tcPr>
          <w:p w:rsidR="006E5829" w:rsidRPr="00874570" w:rsidRDefault="006E5829" w:rsidP="00874570">
            <w:pPr>
              <w:ind w:right="304"/>
              <w:jc w:val="both"/>
            </w:pPr>
            <w:r w:rsidRPr="00874570">
              <w:t>27,435</w:t>
            </w:r>
          </w:p>
        </w:tc>
        <w:tc>
          <w:tcPr>
            <w:tcW w:w="1198" w:type="dxa"/>
          </w:tcPr>
          <w:p w:rsidR="006E5829" w:rsidRPr="00874570" w:rsidRDefault="006E5829" w:rsidP="00874570">
            <w:pPr>
              <w:ind w:right="304"/>
              <w:jc w:val="both"/>
            </w:pPr>
            <w:r w:rsidRPr="00874570">
              <w:t>1,867</w:t>
            </w:r>
          </w:p>
        </w:tc>
        <w:tc>
          <w:tcPr>
            <w:tcW w:w="1566" w:type="dxa"/>
          </w:tcPr>
          <w:p w:rsidR="006E5829" w:rsidRPr="00874570" w:rsidRDefault="006E5829" w:rsidP="00874570">
            <w:pPr>
              <w:ind w:right="304"/>
              <w:jc w:val="both"/>
            </w:pPr>
            <w:r w:rsidRPr="00874570">
              <w:t>-9,500</w:t>
            </w:r>
          </w:p>
        </w:tc>
        <w:tc>
          <w:tcPr>
            <w:tcW w:w="1818" w:type="dxa"/>
          </w:tcPr>
          <w:p w:rsidR="006E5829" w:rsidRPr="00874570" w:rsidRDefault="006E5829" w:rsidP="00874570">
            <w:pPr>
              <w:ind w:right="304"/>
              <w:jc w:val="both"/>
            </w:pPr>
            <w:r w:rsidRPr="00874570">
              <w:t>18,881</w:t>
            </w:r>
          </w:p>
        </w:tc>
      </w:tr>
    </w:tbl>
    <w:p w:rsidR="006E5829" w:rsidRDefault="006E5829" w:rsidP="00C767C6">
      <w:pPr>
        <w:ind w:left="561" w:right="304" w:hanging="561"/>
        <w:jc w:val="both"/>
        <w:rPr>
          <w:b/>
          <w:bCs/>
        </w:rPr>
      </w:pPr>
    </w:p>
    <w:p w:rsidR="006E5829" w:rsidRDefault="006E5829" w:rsidP="002C1506">
      <w:pPr>
        <w:pStyle w:val="ListParagraph"/>
        <w:numPr>
          <w:ilvl w:val="0"/>
          <w:numId w:val="9"/>
        </w:numPr>
        <w:spacing w:after="240"/>
        <w:ind w:right="304"/>
        <w:jc w:val="both"/>
      </w:pPr>
      <w:r w:rsidRPr="000F0C4F">
        <w:rPr>
          <w:b/>
          <w:bCs/>
        </w:rPr>
        <w:t>Unforeseen Contingency</w:t>
      </w:r>
      <w:r w:rsidRPr="000F0C4F">
        <w:t xml:space="preserve"> - There have been no calls on the contingency for unforeseen itemstherefore an under spend of £</w:t>
      </w:r>
      <w:r>
        <w:t>0.</w:t>
      </w:r>
      <w:r w:rsidRPr="000F0C4F">
        <w:t>921</w:t>
      </w:r>
      <w:r>
        <w:t>m</w:t>
      </w:r>
      <w:r w:rsidRPr="000F0C4F">
        <w:t xml:space="preserve"> is contributing to the overall position. This contingency stands at £1.248min 2015/16.</w:t>
      </w:r>
    </w:p>
    <w:p w:rsidR="006E5829" w:rsidRPr="002C1506" w:rsidRDefault="006E5829" w:rsidP="002C1506">
      <w:pPr>
        <w:ind w:left="14" w:right="304"/>
        <w:jc w:val="both"/>
        <w:rPr>
          <w:b/>
          <w:bCs/>
        </w:rPr>
      </w:pPr>
      <w:r w:rsidRPr="002C1506">
        <w:rPr>
          <w:b/>
          <w:bCs/>
        </w:rPr>
        <w:t>Reserves</w:t>
      </w:r>
    </w:p>
    <w:p w:rsidR="006E5829" w:rsidRPr="000F0C4F" w:rsidRDefault="006E5829" w:rsidP="0087231C">
      <w:pPr>
        <w:pStyle w:val="ListParagraph"/>
        <w:numPr>
          <w:ilvl w:val="0"/>
          <w:numId w:val="9"/>
        </w:numPr>
        <w:ind w:right="304"/>
        <w:jc w:val="both"/>
      </w:pPr>
      <w:r>
        <w:t>Set out in paragraphs 20 to 32 below are the movements in the key reserves, either built in to the Outturn or proposed from the revenue underspend for the year. A full list is included in appendix 5.</w:t>
      </w:r>
    </w:p>
    <w:p w:rsidR="006E5829" w:rsidRDefault="006E5829" w:rsidP="00C767C6">
      <w:pPr>
        <w:ind w:right="304"/>
        <w:jc w:val="both"/>
      </w:pPr>
    </w:p>
    <w:p w:rsidR="006E5829" w:rsidRPr="000F0C4F" w:rsidRDefault="006E5829" w:rsidP="0087231C">
      <w:pPr>
        <w:pStyle w:val="ListParagraph"/>
        <w:numPr>
          <w:ilvl w:val="0"/>
          <w:numId w:val="9"/>
        </w:numPr>
        <w:ind w:right="304"/>
        <w:jc w:val="both"/>
      </w:pPr>
      <w:r w:rsidRPr="000F0C4F">
        <w:rPr>
          <w:b/>
          <w:bCs/>
        </w:rPr>
        <w:t>Transformation and Priority Initiatives Fund</w:t>
      </w:r>
      <w:r w:rsidRPr="000F0C4F">
        <w:t xml:space="preserve"> - The balance at 1 April 2014 was £3.370m.  During the year £0.801m was added to the fund from early MTFS savings and bids of £352k were approved:</w:t>
      </w:r>
    </w:p>
    <w:p w:rsidR="006E5829" w:rsidRDefault="006E5829" w:rsidP="0087231C">
      <w:pPr>
        <w:numPr>
          <w:ilvl w:val="0"/>
          <w:numId w:val="4"/>
        </w:numPr>
        <w:ind w:left="561" w:right="304" w:hanging="187"/>
        <w:jc w:val="both"/>
      </w:pPr>
      <w:r>
        <w:t>Arboricultural works £100k</w:t>
      </w:r>
    </w:p>
    <w:p w:rsidR="006E5829" w:rsidRDefault="006E5829" w:rsidP="0087231C">
      <w:pPr>
        <w:numPr>
          <w:ilvl w:val="0"/>
          <w:numId w:val="4"/>
        </w:numPr>
        <w:ind w:left="561" w:right="304" w:hanging="187"/>
        <w:jc w:val="both"/>
      </w:pPr>
      <w:r>
        <w:t>Helping you event £30k</w:t>
      </w:r>
    </w:p>
    <w:p w:rsidR="006E5829" w:rsidRDefault="006E5829" w:rsidP="0087231C">
      <w:pPr>
        <w:numPr>
          <w:ilvl w:val="0"/>
          <w:numId w:val="4"/>
        </w:numPr>
        <w:ind w:left="561" w:right="304" w:hanging="187"/>
        <w:jc w:val="both"/>
      </w:pPr>
      <w:r>
        <w:t>Pothole repairs £150k</w:t>
      </w:r>
    </w:p>
    <w:p w:rsidR="006E5829" w:rsidRDefault="006E5829" w:rsidP="0087231C">
      <w:pPr>
        <w:numPr>
          <w:ilvl w:val="0"/>
          <w:numId w:val="4"/>
        </w:numPr>
        <w:ind w:left="561" w:right="304" w:hanging="187"/>
        <w:jc w:val="both"/>
      </w:pPr>
      <w:r>
        <w:t>Sports Development £50k</w:t>
      </w:r>
    </w:p>
    <w:p w:rsidR="006E5829" w:rsidRDefault="006E5829" w:rsidP="0087231C">
      <w:pPr>
        <w:numPr>
          <w:ilvl w:val="0"/>
          <w:numId w:val="4"/>
        </w:numPr>
        <w:ind w:left="561" w:right="304" w:hanging="187"/>
        <w:jc w:val="both"/>
      </w:pPr>
      <w:r>
        <w:t>Harrow Mutual Support Network £13k</w:t>
      </w:r>
    </w:p>
    <w:p w:rsidR="006E5829" w:rsidRDefault="006E5829" w:rsidP="0087231C">
      <w:pPr>
        <w:numPr>
          <w:ilvl w:val="0"/>
          <w:numId w:val="4"/>
        </w:numPr>
        <w:ind w:left="561" w:right="304" w:hanging="187"/>
        <w:jc w:val="both"/>
      </w:pPr>
      <w:r>
        <w:t>Housing Lettings agency £9k</w:t>
      </w:r>
    </w:p>
    <w:p w:rsidR="006E5829" w:rsidRDefault="006E5829" w:rsidP="00907244">
      <w:pPr>
        <w:ind w:left="360" w:right="304"/>
        <w:jc w:val="both"/>
      </w:pPr>
    </w:p>
    <w:p w:rsidR="006E5829" w:rsidRPr="000F0C4F" w:rsidRDefault="006E5829" w:rsidP="0087231C">
      <w:pPr>
        <w:pStyle w:val="ListParagraph"/>
        <w:numPr>
          <w:ilvl w:val="0"/>
          <w:numId w:val="9"/>
        </w:numPr>
        <w:ind w:right="304"/>
        <w:jc w:val="both"/>
      </w:pPr>
      <w:r w:rsidRPr="000F0C4F">
        <w:t>This leaves a balance of £3.819m.  No increase in this fund is recommended for 2015/16.</w:t>
      </w:r>
    </w:p>
    <w:p w:rsidR="006E5829" w:rsidRDefault="006E5829" w:rsidP="00907244">
      <w:pPr>
        <w:ind w:left="561" w:right="304" w:hanging="561"/>
        <w:jc w:val="both"/>
      </w:pPr>
    </w:p>
    <w:p w:rsidR="006E5829" w:rsidRPr="000F0C4F" w:rsidRDefault="006E5829" w:rsidP="0087231C">
      <w:pPr>
        <w:pStyle w:val="ListParagraph"/>
        <w:numPr>
          <w:ilvl w:val="0"/>
          <w:numId w:val="9"/>
        </w:numPr>
        <w:ind w:right="304"/>
        <w:jc w:val="both"/>
        <w:rPr>
          <w:b/>
          <w:bCs/>
        </w:rPr>
      </w:pPr>
      <w:r w:rsidRPr="000F0C4F">
        <w:rPr>
          <w:b/>
          <w:bCs/>
        </w:rPr>
        <w:t xml:space="preserve">Business Risk Reserve - </w:t>
      </w:r>
      <w:r w:rsidRPr="000F0C4F">
        <w:t>This reserve was established as part of the 2012/13 outturn to provide for a number of identified business risks. £2.859m was available at the start of 2014/15 and a drawdown of £0.750m has been made in–year in respect of Adults continuing care cases.</w:t>
      </w:r>
    </w:p>
    <w:p w:rsidR="006E5829" w:rsidRDefault="006E5829" w:rsidP="0063402D">
      <w:pPr>
        <w:ind w:left="561" w:right="304" w:hanging="561"/>
        <w:jc w:val="both"/>
      </w:pPr>
    </w:p>
    <w:p w:rsidR="006E5829" w:rsidRPr="000F0C4F" w:rsidRDefault="006E5829" w:rsidP="0087231C">
      <w:pPr>
        <w:pStyle w:val="ListParagraph"/>
        <w:numPr>
          <w:ilvl w:val="0"/>
          <w:numId w:val="9"/>
        </w:numPr>
        <w:ind w:right="304"/>
        <w:jc w:val="both"/>
      </w:pPr>
      <w:r w:rsidRPr="000F0C4F">
        <w:t xml:space="preserve">This leaves a balance of £2.109m which will be retained to fund new and emerging business risks and any new contractual risks.  </w:t>
      </w:r>
    </w:p>
    <w:p w:rsidR="006E5829" w:rsidRDefault="006E5829" w:rsidP="00907244">
      <w:pPr>
        <w:ind w:left="561" w:right="304" w:hanging="561"/>
        <w:jc w:val="both"/>
      </w:pPr>
    </w:p>
    <w:p w:rsidR="006E5829" w:rsidRPr="000F0C4F" w:rsidRDefault="006E5829" w:rsidP="0087231C">
      <w:pPr>
        <w:pStyle w:val="ListParagraph"/>
        <w:numPr>
          <w:ilvl w:val="0"/>
          <w:numId w:val="9"/>
        </w:numPr>
        <w:ind w:right="304"/>
        <w:jc w:val="both"/>
      </w:pPr>
      <w:r w:rsidRPr="000F0C4F">
        <w:rPr>
          <w:b/>
          <w:bCs/>
        </w:rPr>
        <w:t>Medium Term Financial Strategy Implementation Reserve</w:t>
      </w:r>
      <w:r w:rsidRPr="000F0C4F">
        <w:t xml:space="preserve"> – This reserve was established to facilitate the achievement of MTFS saving</w:t>
      </w:r>
      <w:r>
        <w:t>s.</w:t>
      </w:r>
      <w:r w:rsidRPr="000F0C4F">
        <w:t xml:space="preserve"> The balance at the start of the year was £6.074m, to which was added £1.066m in-year from early MTFS savings. £4</w:t>
      </w:r>
      <w:r>
        <w:t>.</w:t>
      </w:r>
      <w:r w:rsidRPr="000F0C4F">
        <w:t>390m has been drawn down as follows:</w:t>
      </w:r>
    </w:p>
    <w:p w:rsidR="006E5829" w:rsidRDefault="006E5829" w:rsidP="0087231C">
      <w:pPr>
        <w:pStyle w:val="ListParagraph"/>
        <w:numPr>
          <w:ilvl w:val="0"/>
          <w:numId w:val="12"/>
        </w:numPr>
        <w:ind w:right="304"/>
        <w:jc w:val="both"/>
      </w:pPr>
      <w:r>
        <w:t>Severance costs £2.696m</w:t>
      </w:r>
    </w:p>
    <w:p w:rsidR="006E5829" w:rsidRDefault="006E5829" w:rsidP="0087231C">
      <w:pPr>
        <w:pStyle w:val="ListParagraph"/>
        <w:numPr>
          <w:ilvl w:val="0"/>
          <w:numId w:val="12"/>
        </w:numPr>
        <w:ind w:right="304"/>
        <w:jc w:val="both"/>
      </w:pPr>
      <w:r>
        <w:t>Project Minerva / IT reprocurement £1.282m</w:t>
      </w:r>
    </w:p>
    <w:p w:rsidR="006E5829" w:rsidRDefault="006E5829" w:rsidP="0087231C">
      <w:pPr>
        <w:pStyle w:val="ListParagraph"/>
        <w:numPr>
          <w:ilvl w:val="0"/>
          <w:numId w:val="12"/>
        </w:numPr>
        <w:ind w:right="304"/>
        <w:jc w:val="both"/>
      </w:pPr>
      <w:r>
        <w:t>Civic 2 demolition works £174k</w:t>
      </w:r>
    </w:p>
    <w:p w:rsidR="006E5829" w:rsidRDefault="006E5829" w:rsidP="0087231C">
      <w:pPr>
        <w:pStyle w:val="ListParagraph"/>
        <w:numPr>
          <w:ilvl w:val="0"/>
          <w:numId w:val="12"/>
        </w:numPr>
        <w:ind w:right="304"/>
        <w:jc w:val="both"/>
      </w:pPr>
      <w:r>
        <w:t>Redeployment co-ordinator £29k</w:t>
      </w:r>
    </w:p>
    <w:p w:rsidR="006E5829" w:rsidRDefault="006E5829" w:rsidP="0087231C">
      <w:pPr>
        <w:pStyle w:val="ListParagraph"/>
        <w:numPr>
          <w:ilvl w:val="0"/>
          <w:numId w:val="12"/>
        </w:numPr>
        <w:ind w:right="304"/>
        <w:jc w:val="both"/>
      </w:pPr>
      <w:r>
        <w:t>IT category management £57k</w:t>
      </w:r>
    </w:p>
    <w:p w:rsidR="006E5829" w:rsidRDefault="006E5829" w:rsidP="0087231C">
      <w:pPr>
        <w:pStyle w:val="ListParagraph"/>
        <w:numPr>
          <w:ilvl w:val="0"/>
          <w:numId w:val="12"/>
        </w:numPr>
        <w:ind w:right="304"/>
        <w:jc w:val="both"/>
      </w:pPr>
      <w:r>
        <w:t>Resident consultation £62k</w:t>
      </w:r>
    </w:p>
    <w:p w:rsidR="006E5829" w:rsidRDefault="006E5829" w:rsidP="00C63B44">
      <w:pPr>
        <w:pStyle w:val="ListParagraph"/>
        <w:numPr>
          <w:ilvl w:val="0"/>
          <w:numId w:val="12"/>
        </w:numPr>
        <w:ind w:right="304"/>
        <w:jc w:val="both"/>
      </w:pPr>
      <w:r>
        <w:t>Community, Health &amp; Wellbeing project management of savings £90k</w:t>
      </w:r>
    </w:p>
    <w:p w:rsidR="006E5829" w:rsidRPr="00C63B44" w:rsidRDefault="006E5829" w:rsidP="00C63B44">
      <w:pPr>
        <w:ind w:right="304"/>
        <w:jc w:val="both"/>
      </w:pPr>
    </w:p>
    <w:p w:rsidR="006E5829" w:rsidRDefault="006E5829" w:rsidP="00F71950">
      <w:pPr>
        <w:pStyle w:val="ListParagraph"/>
        <w:numPr>
          <w:ilvl w:val="0"/>
          <w:numId w:val="9"/>
        </w:numPr>
        <w:ind w:right="304"/>
        <w:jc w:val="both"/>
      </w:pPr>
      <w:r>
        <w:t>It is recommended that £54k is added to this reserve from the year end underspend.</w:t>
      </w:r>
    </w:p>
    <w:p w:rsidR="006E5829" w:rsidRPr="00F71950" w:rsidRDefault="006E5829" w:rsidP="00F71950">
      <w:pPr>
        <w:spacing w:after="120"/>
        <w:ind w:right="304"/>
        <w:jc w:val="both"/>
      </w:pPr>
    </w:p>
    <w:p w:rsidR="006E5829" w:rsidRPr="002C1506" w:rsidRDefault="006E5829" w:rsidP="002C1506">
      <w:pPr>
        <w:pStyle w:val="ListParagraph"/>
        <w:numPr>
          <w:ilvl w:val="0"/>
          <w:numId w:val="9"/>
        </w:numPr>
        <w:ind w:right="304"/>
        <w:jc w:val="both"/>
        <w:rPr>
          <w:b/>
          <w:bCs/>
        </w:rPr>
      </w:pPr>
      <w:r w:rsidRPr="002C1506">
        <w:rPr>
          <w:b/>
          <w:bCs/>
        </w:rPr>
        <w:t>Legal Expansion Reserve</w:t>
      </w:r>
    </w:p>
    <w:p w:rsidR="006E5829" w:rsidRPr="002C1506" w:rsidRDefault="006E5829" w:rsidP="002C1506">
      <w:pPr>
        <w:spacing w:after="240"/>
        <w:ind w:left="14" w:right="304"/>
        <w:jc w:val="both"/>
      </w:pPr>
      <w:r w:rsidRPr="002C1506">
        <w:t>A key element of the Legal Services MTFS proposals is for the provision of Legal Services to other boroughs to be expanded, reducing the net cost of Legal Services. It is recommended that Cabinet agree to the contribution of £102k to this reserve in order to finance the costs of gaining new business and implementation costs. This contribution is reflected in the reported outturn position for Legal and Governance.</w:t>
      </w:r>
    </w:p>
    <w:p w:rsidR="006E5829" w:rsidRPr="002C1506" w:rsidRDefault="006E5829" w:rsidP="002C1506">
      <w:pPr>
        <w:pStyle w:val="ListParagraph"/>
        <w:numPr>
          <w:ilvl w:val="0"/>
          <w:numId w:val="9"/>
        </w:numPr>
        <w:ind w:right="304"/>
        <w:jc w:val="both"/>
        <w:rPr>
          <w:b/>
          <w:bCs/>
        </w:rPr>
      </w:pPr>
      <w:r w:rsidRPr="002C1506">
        <w:rPr>
          <w:b/>
          <w:bCs/>
        </w:rPr>
        <w:t>Children’s Social Care Reserve</w:t>
      </w:r>
    </w:p>
    <w:p w:rsidR="006E5829" w:rsidRPr="002C1506" w:rsidRDefault="006E5829" w:rsidP="002C1506">
      <w:pPr>
        <w:spacing w:after="240"/>
        <w:ind w:left="14" w:right="304"/>
        <w:jc w:val="both"/>
      </w:pPr>
      <w:r w:rsidRPr="002C1506">
        <w:t>It is proposed to establish a Children’s Social Care Reserve to help defray anticipated future budget pressures in relation to Social Care costs and Special Needs costs. The recommended contribution is £0.866m</w:t>
      </w:r>
      <w:r>
        <w:t>, which is funded from grant flexibility for one year only, and has been factored in to the Children and Families Outturn position.</w:t>
      </w:r>
    </w:p>
    <w:p w:rsidR="006E5829" w:rsidRPr="002C1506" w:rsidRDefault="006E5829" w:rsidP="002C1506">
      <w:pPr>
        <w:pStyle w:val="ListParagraph"/>
        <w:numPr>
          <w:ilvl w:val="0"/>
          <w:numId w:val="9"/>
        </w:numPr>
        <w:ind w:right="304"/>
        <w:jc w:val="both"/>
        <w:rPr>
          <w:b/>
          <w:bCs/>
        </w:rPr>
      </w:pPr>
      <w:r w:rsidRPr="002C1506">
        <w:rPr>
          <w:b/>
          <w:bCs/>
        </w:rPr>
        <w:t>Harrow Schools Improvement Partnership (HSIP) Reserve</w:t>
      </w:r>
    </w:p>
    <w:p w:rsidR="006E5829" w:rsidRPr="002C1506" w:rsidRDefault="006E5829" w:rsidP="002C1506">
      <w:pPr>
        <w:spacing w:after="240"/>
        <w:ind w:left="14" w:right="304"/>
        <w:jc w:val="both"/>
      </w:pPr>
      <w:r w:rsidRPr="002C1506">
        <w:t xml:space="preserve">HSIP has an accumulated surplus of £1.261m arising from the contributions to costs made by schools. The surplus is being maintained to fund potential termination costs and it is recommended that this is contributed to a reserve. </w:t>
      </w:r>
      <w:r>
        <w:t xml:space="preserve">There has been a change in the accounting treatment of this item and in previous years it was treated as an accrual rather than a reserve. </w:t>
      </w:r>
      <w:r w:rsidRPr="002C1506">
        <w:t>The contribution has been factored in to the Children and Families Outturn position.</w:t>
      </w:r>
    </w:p>
    <w:p w:rsidR="006E5829" w:rsidRPr="002C1506" w:rsidRDefault="006E5829" w:rsidP="002C1506">
      <w:pPr>
        <w:pStyle w:val="ListParagraph"/>
        <w:numPr>
          <w:ilvl w:val="0"/>
          <w:numId w:val="9"/>
        </w:numPr>
        <w:ind w:right="304"/>
        <w:jc w:val="both"/>
        <w:rPr>
          <w:b/>
          <w:bCs/>
        </w:rPr>
      </w:pPr>
      <w:r>
        <w:rPr>
          <w:b/>
          <w:bCs/>
        </w:rPr>
        <w:t>Standing up for those in need Reserve</w:t>
      </w:r>
    </w:p>
    <w:p w:rsidR="006E5829" w:rsidRPr="002C1506" w:rsidRDefault="006E5829" w:rsidP="002C1506">
      <w:pPr>
        <w:spacing w:after="240"/>
        <w:ind w:left="14" w:right="304"/>
        <w:jc w:val="both"/>
      </w:pPr>
      <w:r w:rsidRPr="002C1506">
        <w:t xml:space="preserve">The administration committed in its manifesto to stand up for those in need by targeting more support towards carers and tackling the increase in domestic violence across the borough. In July 2014 Cabinet approve the use of £200k from early savings implemented in-year to tackle domestic violence. </w:t>
      </w:r>
      <w:r>
        <w:t>I</w:t>
      </w:r>
      <w:r w:rsidRPr="002C1506">
        <w:t>t is now recommended to contribute £0.800m from the 2014/5 underspend to this reserve taking the total funding allocated in 2014/15 and 2015/16 to £1m.</w:t>
      </w:r>
    </w:p>
    <w:p w:rsidR="006E5829" w:rsidRPr="002C1506" w:rsidRDefault="006E5829" w:rsidP="002C1506">
      <w:pPr>
        <w:pStyle w:val="ListParagraph"/>
        <w:numPr>
          <w:ilvl w:val="0"/>
          <w:numId w:val="9"/>
        </w:numPr>
        <w:ind w:right="304"/>
        <w:jc w:val="both"/>
        <w:rPr>
          <w:b/>
          <w:bCs/>
        </w:rPr>
      </w:pPr>
      <w:r w:rsidRPr="002C1506">
        <w:rPr>
          <w:b/>
          <w:bCs/>
        </w:rPr>
        <w:t>Borough Elections Reserve</w:t>
      </w:r>
    </w:p>
    <w:p w:rsidR="006E5829" w:rsidRPr="002C1506" w:rsidRDefault="006E5829" w:rsidP="002C1506">
      <w:pPr>
        <w:ind w:left="14" w:right="304"/>
        <w:jc w:val="both"/>
      </w:pPr>
      <w:r w:rsidRPr="002C1506">
        <w:t xml:space="preserve">A reserve is maintained to equalise the cost of local elections every 4 years. The drawdown of the balance of £318k has been factored in to the Outturn position for Resources, in order to fund the 2014 elections. </w:t>
      </w:r>
    </w:p>
    <w:p w:rsidR="006E5829" w:rsidRPr="00F71950" w:rsidRDefault="006E5829" w:rsidP="00F71950">
      <w:pPr>
        <w:ind w:right="304"/>
        <w:jc w:val="both"/>
      </w:pPr>
    </w:p>
    <w:p w:rsidR="006E5829" w:rsidRPr="00F71950" w:rsidRDefault="006E5829" w:rsidP="00F71950">
      <w:pPr>
        <w:ind w:left="14" w:right="304"/>
        <w:jc w:val="both"/>
        <w:rPr>
          <w:b/>
          <w:bCs/>
        </w:rPr>
      </w:pPr>
      <w:r>
        <w:rPr>
          <w:b/>
          <w:bCs/>
        </w:rPr>
        <w:t>Rapid Response Reserve</w:t>
      </w:r>
    </w:p>
    <w:p w:rsidR="006E5829" w:rsidRPr="002C1506" w:rsidRDefault="006E5829" w:rsidP="00C9349C">
      <w:pPr>
        <w:pStyle w:val="ListParagraph"/>
        <w:numPr>
          <w:ilvl w:val="0"/>
          <w:numId w:val="9"/>
        </w:numPr>
        <w:spacing w:after="240"/>
        <w:ind w:right="304"/>
        <w:jc w:val="both"/>
      </w:pPr>
      <w:r w:rsidRPr="00C9349C">
        <w:t xml:space="preserve">It is recommended that this reserve is established with a contribution of £75k from the reported underspend in 2014/15.  The purpose of this is to fund </w:t>
      </w:r>
      <w:r>
        <w:t>responsive minor works, of a non-recurrent nature, in a rapid and efficient manner.</w:t>
      </w:r>
    </w:p>
    <w:p w:rsidR="006E5829" w:rsidRPr="002C1506" w:rsidRDefault="006E5829" w:rsidP="002C1506">
      <w:pPr>
        <w:spacing w:after="240"/>
        <w:ind w:right="304"/>
        <w:jc w:val="both"/>
      </w:pPr>
    </w:p>
    <w:p w:rsidR="006E5829" w:rsidRPr="00D217C5" w:rsidRDefault="006E5829" w:rsidP="00D217C5">
      <w:pPr>
        <w:ind w:left="14" w:right="304"/>
        <w:jc w:val="both"/>
        <w:rPr>
          <w:b/>
          <w:bCs/>
        </w:rPr>
      </w:pPr>
      <w:r w:rsidRPr="00D217C5">
        <w:rPr>
          <w:b/>
          <w:bCs/>
        </w:rPr>
        <w:t>IT Implementation Reserve</w:t>
      </w:r>
    </w:p>
    <w:p w:rsidR="006E5829" w:rsidRPr="00D217C5" w:rsidRDefault="006E5829" w:rsidP="00D217C5">
      <w:pPr>
        <w:pStyle w:val="ListParagraph"/>
        <w:numPr>
          <w:ilvl w:val="0"/>
          <w:numId w:val="9"/>
        </w:numPr>
        <w:spacing w:after="240"/>
        <w:ind w:right="304"/>
        <w:jc w:val="both"/>
      </w:pPr>
      <w:r w:rsidRPr="00D217C5">
        <w:t xml:space="preserve">When considering the ICT Procurement award of contract in March, Cabinet agreed to fund £2.854m of transformation and transition costs from the MTFS Implementation reserve. In view of the size of the expenditure it is recommended that a separate reserve is established funded from the underspend in 2014/15. </w:t>
      </w:r>
    </w:p>
    <w:p w:rsidR="006E5829" w:rsidRDefault="006E5829" w:rsidP="00C767C6">
      <w:pPr>
        <w:ind w:right="304"/>
        <w:jc w:val="both"/>
        <w:rPr>
          <w:b/>
          <w:bCs/>
        </w:rPr>
      </w:pPr>
      <w:r w:rsidRPr="00FA23DE">
        <w:rPr>
          <w:b/>
          <w:bCs/>
        </w:rPr>
        <w:t>C</w:t>
      </w:r>
      <w:r>
        <w:rPr>
          <w:b/>
          <w:bCs/>
        </w:rPr>
        <w:t>APITAL FINANCING</w:t>
      </w:r>
    </w:p>
    <w:p w:rsidR="006E5829" w:rsidRPr="000F0C4F" w:rsidRDefault="006E5829" w:rsidP="0087231C">
      <w:pPr>
        <w:pStyle w:val="ListParagraph"/>
        <w:numPr>
          <w:ilvl w:val="0"/>
          <w:numId w:val="9"/>
        </w:numPr>
        <w:ind w:right="304"/>
        <w:jc w:val="both"/>
      </w:pPr>
      <w:r w:rsidRPr="000F0C4F">
        <w:t>The outturn on capital financing is anunderspend of £140k.  This has resulted from more investment income as a result of higher cash balances than anticipated.</w:t>
      </w:r>
    </w:p>
    <w:p w:rsidR="006E5829" w:rsidRDefault="006E5829" w:rsidP="00C767C6">
      <w:pPr>
        <w:jc w:val="both"/>
        <w:rPr>
          <w:b/>
          <w:bCs/>
        </w:rPr>
      </w:pPr>
    </w:p>
    <w:p w:rsidR="006E5829" w:rsidRPr="002F1743" w:rsidRDefault="006E5829" w:rsidP="00C767C6">
      <w:pPr>
        <w:jc w:val="both"/>
        <w:rPr>
          <w:b/>
          <w:bCs/>
        </w:rPr>
      </w:pPr>
    </w:p>
    <w:p w:rsidR="006E5829" w:rsidRPr="00AC736E" w:rsidRDefault="006E5829" w:rsidP="00C767C6">
      <w:pPr>
        <w:ind w:right="304"/>
        <w:jc w:val="both"/>
        <w:rPr>
          <w:b/>
          <w:bCs/>
        </w:rPr>
      </w:pPr>
      <w:r>
        <w:rPr>
          <w:b/>
          <w:bCs/>
        </w:rPr>
        <w:t>REVENUE CARRY FORWARDS</w:t>
      </w:r>
    </w:p>
    <w:p w:rsidR="006E5829" w:rsidRDefault="006E5829" w:rsidP="0087231C">
      <w:pPr>
        <w:numPr>
          <w:ilvl w:val="0"/>
          <w:numId w:val="9"/>
        </w:numPr>
        <w:ind w:right="304"/>
        <w:jc w:val="both"/>
      </w:pPr>
      <w:r>
        <w:t>Carry forward requests were received, mainly in relation to projects not completed and government grants not yet spent. The carry forward requestsare summarised below and listed in appendix 3:-</w:t>
      </w:r>
    </w:p>
    <w:p w:rsidR="006E5829" w:rsidRDefault="006E5829" w:rsidP="00C53FBB">
      <w:pPr>
        <w:ind w:right="304"/>
        <w:jc w:val="both"/>
      </w:pPr>
    </w:p>
    <w:p w:rsidR="006E5829" w:rsidRDefault="006E5829" w:rsidP="00503B8E">
      <w:pPr>
        <w:ind w:right="304"/>
        <w:jc w:val="both"/>
      </w:pPr>
      <w:r>
        <w:t>Table 3 Summary of Revenue Carry Forwards</w:t>
      </w:r>
    </w:p>
    <w:tbl>
      <w:tblPr>
        <w:tblW w:w="6000" w:type="dxa"/>
        <w:tblInd w:w="-106" w:type="dxa"/>
        <w:tblLook w:val="00A0"/>
      </w:tblPr>
      <w:tblGrid>
        <w:gridCol w:w="2760"/>
        <w:gridCol w:w="1080"/>
        <w:gridCol w:w="1080"/>
        <w:gridCol w:w="1080"/>
      </w:tblGrid>
      <w:tr w:rsidR="006E5829" w:rsidRPr="005527E5">
        <w:trPr>
          <w:trHeight w:val="525"/>
        </w:trPr>
        <w:tc>
          <w:tcPr>
            <w:tcW w:w="2760" w:type="dxa"/>
            <w:tcBorders>
              <w:top w:val="single" w:sz="8" w:space="0" w:color="auto"/>
              <w:left w:val="single" w:sz="8" w:space="0" w:color="auto"/>
              <w:bottom w:val="single" w:sz="8" w:space="0" w:color="auto"/>
              <w:right w:val="single" w:sz="8" w:space="0" w:color="auto"/>
            </w:tcBorders>
            <w:noWrap/>
            <w:vAlign w:val="center"/>
          </w:tcPr>
          <w:p w:rsidR="006E5829" w:rsidRPr="005527E5" w:rsidRDefault="006E5829" w:rsidP="005527E5">
            <w:pPr>
              <w:rPr>
                <w:color w:val="000000"/>
                <w:sz w:val="20"/>
                <w:szCs w:val="20"/>
                <w:lang w:eastAsia="en-GB"/>
              </w:rPr>
            </w:pPr>
            <w:r w:rsidRPr="005527E5">
              <w:rPr>
                <w:color w:val="000000"/>
                <w:sz w:val="20"/>
                <w:szCs w:val="20"/>
                <w:lang w:eastAsia="en-GB"/>
              </w:rPr>
              <w:t> </w:t>
            </w:r>
          </w:p>
        </w:tc>
        <w:tc>
          <w:tcPr>
            <w:tcW w:w="1080" w:type="dxa"/>
            <w:tcBorders>
              <w:top w:val="single" w:sz="8" w:space="0" w:color="auto"/>
              <w:left w:val="nil"/>
              <w:bottom w:val="single" w:sz="8" w:space="0" w:color="auto"/>
              <w:right w:val="single" w:sz="8" w:space="0" w:color="auto"/>
            </w:tcBorders>
            <w:vAlign w:val="center"/>
          </w:tcPr>
          <w:p w:rsidR="006E5829" w:rsidRPr="005527E5" w:rsidRDefault="006E5829" w:rsidP="005527E5">
            <w:pPr>
              <w:jc w:val="center"/>
              <w:rPr>
                <w:b/>
                <w:bCs/>
                <w:color w:val="000000"/>
                <w:sz w:val="20"/>
                <w:szCs w:val="20"/>
                <w:lang w:eastAsia="en-GB"/>
              </w:rPr>
            </w:pPr>
            <w:r w:rsidRPr="005527E5">
              <w:rPr>
                <w:b/>
                <w:bCs/>
                <w:color w:val="000000"/>
                <w:sz w:val="20"/>
                <w:szCs w:val="20"/>
                <w:lang w:eastAsia="en-GB"/>
              </w:rPr>
              <w:t>Council Funding</w:t>
            </w:r>
          </w:p>
        </w:tc>
        <w:tc>
          <w:tcPr>
            <w:tcW w:w="1080" w:type="dxa"/>
            <w:tcBorders>
              <w:top w:val="single" w:sz="8" w:space="0" w:color="auto"/>
              <w:left w:val="nil"/>
              <w:bottom w:val="single" w:sz="8" w:space="0" w:color="auto"/>
              <w:right w:val="single" w:sz="8" w:space="0" w:color="auto"/>
            </w:tcBorders>
            <w:vAlign w:val="center"/>
          </w:tcPr>
          <w:p w:rsidR="006E5829" w:rsidRPr="005527E5" w:rsidRDefault="006E5829" w:rsidP="005527E5">
            <w:pPr>
              <w:jc w:val="center"/>
              <w:rPr>
                <w:b/>
                <w:bCs/>
                <w:color w:val="000000"/>
                <w:sz w:val="20"/>
                <w:szCs w:val="20"/>
                <w:lang w:eastAsia="en-GB"/>
              </w:rPr>
            </w:pPr>
            <w:r w:rsidRPr="005527E5">
              <w:rPr>
                <w:b/>
                <w:bCs/>
                <w:color w:val="000000"/>
                <w:sz w:val="20"/>
                <w:szCs w:val="20"/>
                <w:lang w:eastAsia="en-GB"/>
              </w:rPr>
              <w:t>Grant Funding</w:t>
            </w:r>
          </w:p>
        </w:tc>
        <w:tc>
          <w:tcPr>
            <w:tcW w:w="1080" w:type="dxa"/>
            <w:tcBorders>
              <w:top w:val="single" w:sz="8" w:space="0" w:color="auto"/>
              <w:left w:val="nil"/>
              <w:bottom w:val="single" w:sz="8" w:space="0" w:color="auto"/>
              <w:right w:val="single" w:sz="8" w:space="0" w:color="auto"/>
            </w:tcBorders>
            <w:vAlign w:val="center"/>
          </w:tcPr>
          <w:p w:rsidR="006E5829" w:rsidRPr="005527E5" w:rsidRDefault="006E5829" w:rsidP="005527E5">
            <w:pPr>
              <w:jc w:val="center"/>
              <w:rPr>
                <w:b/>
                <w:bCs/>
                <w:color w:val="000000"/>
                <w:sz w:val="20"/>
                <w:szCs w:val="20"/>
                <w:lang w:eastAsia="en-GB"/>
              </w:rPr>
            </w:pPr>
            <w:r w:rsidRPr="005527E5">
              <w:rPr>
                <w:b/>
                <w:bCs/>
                <w:color w:val="000000"/>
                <w:sz w:val="20"/>
                <w:szCs w:val="20"/>
                <w:lang w:eastAsia="en-GB"/>
              </w:rPr>
              <w:t>Total</w:t>
            </w:r>
          </w:p>
        </w:tc>
      </w:tr>
      <w:tr w:rsidR="006E5829" w:rsidRPr="005527E5">
        <w:trPr>
          <w:trHeight w:val="300"/>
        </w:trPr>
        <w:tc>
          <w:tcPr>
            <w:tcW w:w="2760" w:type="dxa"/>
            <w:tcBorders>
              <w:top w:val="nil"/>
              <w:left w:val="single" w:sz="8" w:space="0" w:color="auto"/>
              <w:bottom w:val="single" w:sz="8" w:space="0" w:color="auto"/>
              <w:right w:val="single" w:sz="8" w:space="0" w:color="auto"/>
            </w:tcBorders>
            <w:noWrap/>
            <w:vAlign w:val="center"/>
          </w:tcPr>
          <w:p w:rsidR="006E5829" w:rsidRPr="005527E5" w:rsidRDefault="006E5829" w:rsidP="005527E5">
            <w:pPr>
              <w:rPr>
                <w:color w:val="000000"/>
                <w:sz w:val="20"/>
                <w:szCs w:val="20"/>
                <w:lang w:eastAsia="en-GB"/>
              </w:rPr>
            </w:pPr>
            <w:r w:rsidRPr="005527E5">
              <w:rPr>
                <w:color w:val="000000"/>
                <w:sz w:val="20"/>
                <w:szCs w:val="20"/>
                <w:lang w:eastAsia="en-GB"/>
              </w:rPr>
              <w:t> </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center"/>
              <w:rPr>
                <w:color w:val="000000"/>
                <w:sz w:val="20"/>
                <w:szCs w:val="20"/>
                <w:lang w:eastAsia="en-GB"/>
              </w:rPr>
            </w:pPr>
            <w:r w:rsidRPr="005527E5">
              <w:rPr>
                <w:color w:val="000000"/>
                <w:sz w:val="20"/>
                <w:szCs w:val="20"/>
                <w:lang w:eastAsia="en-GB"/>
              </w:rPr>
              <w:t>£000</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center"/>
              <w:rPr>
                <w:color w:val="000000"/>
                <w:sz w:val="20"/>
                <w:szCs w:val="20"/>
                <w:lang w:eastAsia="en-GB"/>
              </w:rPr>
            </w:pPr>
            <w:r w:rsidRPr="005527E5">
              <w:rPr>
                <w:color w:val="000000"/>
                <w:sz w:val="20"/>
                <w:szCs w:val="20"/>
                <w:lang w:eastAsia="en-GB"/>
              </w:rPr>
              <w:t>£000</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center"/>
              <w:rPr>
                <w:color w:val="000000"/>
                <w:sz w:val="20"/>
                <w:szCs w:val="20"/>
                <w:lang w:eastAsia="en-GB"/>
              </w:rPr>
            </w:pPr>
            <w:r w:rsidRPr="005527E5">
              <w:rPr>
                <w:color w:val="000000"/>
                <w:sz w:val="20"/>
                <w:szCs w:val="20"/>
                <w:lang w:eastAsia="en-GB"/>
              </w:rPr>
              <w:t>£000</w:t>
            </w:r>
          </w:p>
        </w:tc>
      </w:tr>
      <w:tr w:rsidR="006E5829" w:rsidRP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tcPr>
          <w:p w:rsidR="006E5829" w:rsidRPr="005527E5" w:rsidRDefault="006E5829" w:rsidP="005527E5">
            <w:pPr>
              <w:rPr>
                <w:color w:val="000000"/>
                <w:sz w:val="18"/>
                <w:szCs w:val="18"/>
                <w:lang w:eastAsia="en-GB"/>
              </w:rPr>
            </w:pPr>
            <w:r w:rsidRPr="005527E5">
              <w:rPr>
                <w:color w:val="000000"/>
                <w:sz w:val="18"/>
                <w:szCs w:val="18"/>
                <w:lang w:eastAsia="en-GB"/>
              </w:rPr>
              <w:t>Resources</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244</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44</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288</w:t>
            </w:r>
          </w:p>
        </w:tc>
      </w:tr>
      <w:tr w:rsidR="006E5829" w:rsidRP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tcPr>
          <w:p w:rsidR="006E5829" w:rsidRPr="005527E5" w:rsidRDefault="006E5829" w:rsidP="005527E5">
            <w:pPr>
              <w:rPr>
                <w:color w:val="000000"/>
                <w:sz w:val="18"/>
                <w:szCs w:val="18"/>
                <w:lang w:eastAsia="en-GB"/>
              </w:rPr>
            </w:pPr>
            <w:r w:rsidRPr="005527E5">
              <w:rPr>
                <w:color w:val="000000"/>
                <w:sz w:val="18"/>
                <w:szCs w:val="18"/>
                <w:lang w:eastAsia="en-GB"/>
              </w:rPr>
              <w:t>Environment &amp; Enterprise</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332</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6</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338</w:t>
            </w:r>
          </w:p>
        </w:tc>
      </w:tr>
      <w:tr w:rsidR="006E5829" w:rsidRP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tcPr>
          <w:p w:rsidR="006E5829" w:rsidRPr="005527E5" w:rsidRDefault="006E5829" w:rsidP="005527E5">
            <w:pPr>
              <w:rPr>
                <w:color w:val="000000"/>
                <w:sz w:val="18"/>
                <w:szCs w:val="18"/>
                <w:lang w:eastAsia="en-GB"/>
              </w:rPr>
            </w:pPr>
            <w:r w:rsidRPr="005527E5">
              <w:rPr>
                <w:color w:val="000000"/>
                <w:sz w:val="18"/>
                <w:szCs w:val="18"/>
                <w:lang w:eastAsia="en-GB"/>
              </w:rPr>
              <w:t>Community, Health &amp; Wellbeing</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50</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79</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129</w:t>
            </w:r>
          </w:p>
        </w:tc>
      </w:tr>
      <w:tr w:rsidR="006E5829" w:rsidRP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tcPr>
          <w:p w:rsidR="006E5829" w:rsidRPr="005527E5" w:rsidRDefault="006E5829" w:rsidP="005527E5">
            <w:pPr>
              <w:rPr>
                <w:color w:val="000000"/>
                <w:sz w:val="18"/>
                <w:szCs w:val="18"/>
                <w:lang w:eastAsia="en-GB"/>
              </w:rPr>
            </w:pPr>
            <w:r w:rsidRPr="005527E5">
              <w:rPr>
                <w:color w:val="000000"/>
                <w:sz w:val="18"/>
                <w:szCs w:val="18"/>
                <w:lang w:eastAsia="en-GB"/>
              </w:rPr>
              <w:t>Children &amp; Families</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0</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843</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color w:val="000000"/>
                <w:sz w:val="20"/>
                <w:szCs w:val="20"/>
                <w:lang w:eastAsia="en-GB"/>
              </w:rPr>
            </w:pPr>
            <w:r w:rsidRPr="005527E5">
              <w:rPr>
                <w:color w:val="000000"/>
                <w:sz w:val="20"/>
                <w:szCs w:val="20"/>
                <w:lang w:eastAsia="en-GB"/>
              </w:rPr>
              <w:t>843</w:t>
            </w:r>
          </w:p>
        </w:tc>
      </w:tr>
      <w:tr w:rsidR="006E5829" w:rsidRPr="005527E5">
        <w:trPr>
          <w:trHeight w:val="300"/>
        </w:trPr>
        <w:tc>
          <w:tcPr>
            <w:tcW w:w="2760" w:type="dxa"/>
            <w:tcBorders>
              <w:top w:val="nil"/>
              <w:left w:val="single" w:sz="8" w:space="0" w:color="auto"/>
              <w:bottom w:val="single" w:sz="8" w:space="0" w:color="auto"/>
              <w:right w:val="single" w:sz="8" w:space="0" w:color="auto"/>
            </w:tcBorders>
            <w:shd w:val="clear" w:color="000000" w:fill="FFFFFF"/>
            <w:vAlign w:val="center"/>
          </w:tcPr>
          <w:p w:rsidR="006E5829" w:rsidRPr="005527E5" w:rsidRDefault="006E5829" w:rsidP="005527E5">
            <w:pPr>
              <w:rPr>
                <w:b/>
                <w:bCs/>
                <w:color w:val="000000"/>
                <w:sz w:val="18"/>
                <w:szCs w:val="18"/>
                <w:lang w:eastAsia="en-GB"/>
              </w:rPr>
            </w:pPr>
            <w:r w:rsidRPr="005527E5">
              <w:rPr>
                <w:b/>
                <w:bCs/>
                <w:color w:val="000000"/>
                <w:sz w:val="18"/>
                <w:szCs w:val="18"/>
                <w:lang w:eastAsia="en-GB"/>
              </w:rPr>
              <w:t>Carry Fwd Total</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b/>
                <w:bCs/>
                <w:color w:val="000000"/>
                <w:sz w:val="20"/>
                <w:szCs w:val="20"/>
                <w:lang w:eastAsia="en-GB"/>
              </w:rPr>
            </w:pPr>
            <w:r w:rsidRPr="005527E5">
              <w:rPr>
                <w:b/>
                <w:bCs/>
                <w:color w:val="000000"/>
                <w:sz w:val="20"/>
                <w:szCs w:val="20"/>
                <w:lang w:eastAsia="en-GB"/>
              </w:rPr>
              <w:t>626</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b/>
                <w:bCs/>
                <w:color w:val="000000"/>
                <w:sz w:val="20"/>
                <w:szCs w:val="20"/>
                <w:lang w:eastAsia="en-GB"/>
              </w:rPr>
            </w:pPr>
            <w:r w:rsidRPr="005527E5">
              <w:rPr>
                <w:b/>
                <w:bCs/>
                <w:color w:val="000000"/>
                <w:sz w:val="20"/>
                <w:szCs w:val="20"/>
                <w:lang w:eastAsia="en-GB"/>
              </w:rPr>
              <w:t>972</w:t>
            </w:r>
          </w:p>
        </w:tc>
        <w:tc>
          <w:tcPr>
            <w:tcW w:w="1080" w:type="dxa"/>
            <w:tcBorders>
              <w:top w:val="nil"/>
              <w:left w:val="nil"/>
              <w:bottom w:val="single" w:sz="8" w:space="0" w:color="auto"/>
              <w:right w:val="single" w:sz="8" w:space="0" w:color="auto"/>
            </w:tcBorders>
            <w:noWrap/>
            <w:vAlign w:val="center"/>
          </w:tcPr>
          <w:p w:rsidR="006E5829" w:rsidRPr="005527E5" w:rsidRDefault="006E5829" w:rsidP="005527E5">
            <w:pPr>
              <w:jc w:val="right"/>
              <w:rPr>
                <w:b/>
                <w:bCs/>
                <w:color w:val="000000"/>
                <w:sz w:val="20"/>
                <w:szCs w:val="20"/>
                <w:lang w:eastAsia="en-GB"/>
              </w:rPr>
            </w:pPr>
            <w:r w:rsidRPr="005527E5">
              <w:rPr>
                <w:b/>
                <w:bCs/>
                <w:color w:val="000000"/>
                <w:sz w:val="20"/>
                <w:szCs w:val="20"/>
                <w:lang w:eastAsia="en-GB"/>
              </w:rPr>
              <w:t>1,598</w:t>
            </w:r>
          </w:p>
        </w:tc>
      </w:tr>
    </w:tbl>
    <w:p w:rsidR="006E5829" w:rsidRDefault="006E5829" w:rsidP="00C767C6">
      <w:pPr>
        <w:ind w:right="304"/>
        <w:jc w:val="both"/>
      </w:pPr>
    </w:p>
    <w:p w:rsidR="006E5829" w:rsidRDefault="006E5829" w:rsidP="00C767C6">
      <w:pPr>
        <w:ind w:right="304"/>
        <w:jc w:val="both"/>
      </w:pPr>
    </w:p>
    <w:p w:rsidR="006E5829" w:rsidRDefault="006E5829" w:rsidP="00C767C6">
      <w:pPr>
        <w:jc w:val="both"/>
        <w:rPr>
          <w:b/>
          <w:bCs/>
        </w:rPr>
      </w:pPr>
      <w:r w:rsidRPr="00FA23DE">
        <w:rPr>
          <w:b/>
          <w:bCs/>
        </w:rPr>
        <w:t>G</w:t>
      </w:r>
      <w:r>
        <w:rPr>
          <w:b/>
          <w:bCs/>
        </w:rPr>
        <w:t>ENERAL RESERVES</w:t>
      </w:r>
    </w:p>
    <w:p w:rsidR="006E5829" w:rsidRPr="00761E75" w:rsidRDefault="006E5829" w:rsidP="0087231C">
      <w:pPr>
        <w:pStyle w:val="ListParagraph"/>
        <w:numPr>
          <w:ilvl w:val="0"/>
          <w:numId w:val="9"/>
        </w:numPr>
        <w:jc w:val="both"/>
        <w:rPr>
          <w:b/>
          <w:bCs/>
        </w:rPr>
      </w:pPr>
      <w:r>
        <w:t>Harrow’s</w:t>
      </w:r>
      <w:r w:rsidRPr="000F0C4F">
        <w:t>level of General Reserves is towards the lower end of what is considered prudent at £10.008m</w:t>
      </w:r>
      <w:r>
        <w:t>, but is considered adequate given the level of earmarked reserves</w:t>
      </w:r>
      <w:r w:rsidRPr="000F0C4F">
        <w:t>. It is not recommended to increase the level at this</w:t>
      </w:r>
      <w:r>
        <w:t xml:space="preserve"> point.</w:t>
      </w:r>
    </w:p>
    <w:p w:rsidR="006E5829" w:rsidRPr="00392365" w:rsidRDefault="006E5829" w:rsidP="00C767C6">
      <w:pPr>
        <w:jc w:val="both"/>
        <w:rPr>
          <w:b/>
          <w:bCs/>
        </w:rPr>
      </w:pPr>
    </w:p>
    <w:p w:rsidR="006E5829" w:rsidRPr="00844D4D" w:rsidRDefault="006E5829" w:rsidP="00C767C6">
      <w:pPr>
        <w:ind w:right="304"/>
        <w:jc w:val="both"/>
        <w:rPr>
          <w:b/>
          <w:bCs/>
        </w:rPr>
      </w:pPr>
      <w:r w:rsidRPr="00844D4D">
        <w:rPr>
          <w:b/>
          <w:bCs/>
        </w:rPr>
        <w:t>H</w:t>
      </w:r>
      <w:r>
        <w:rPr>
          <w:b/>
          <w:bCs/>
        </w:rPr>
        <w:t xml:space="preserve">OUSING REVENUE ACCOUNT </w:t>
      </w:r>
      <w:r w:rsidRPr="00844D4D">
        <w:rPr>
          <w:b/>
          <w:bCs/>
        </w:rPr>
        <w:t>(HRA)</w:t>
      </w:r>
    </w:p>
    <w:p w:rsidR="006E5829" w:rsidRPr="000F0C4F" w:rsidRDefault="006E5829" w:rsidP="0087231C">
      <w:pPr>
        <w:pStyle w:val="ListParagraph"/>
        <w:numPr>
          <w:ilvl w:val="0"/>
          <w:numId w:val="9"/>
        </w:numPr>
        <w:spacing w:after="240"/>
        <w:ind w:right="306"/>
        <w:jc w:val="both"/>
      </w:pPr>
      <w:r w:rsidRPr="000F0C4F">
        <w:t>The HRA has a surplus of £1.011m against a budgeted surplus of £0.902m. The main contributing factors are underspends in operating expenditure, including repairs, utilities and employee costs, offset by valuation losses on garages of £1.765m. The outturn also includes additional depreciation charges of £0.773m which result in only a transfer of resources to the Major Repairs Reserve which is used to finance capital expenditure.</w:t>
      </w:r>
    </w:p>
    <w:p w:rsidR="006E5829" w:rsidRPr="00F63815" w:rsidRDefault="006E5829" w:rsidP="00C767C6">
      <w:pPr>
        <w:jc w:val="both"/>
        <w:rPr>
          <w:b/>
          <w:bCs/>
        </w:rPr>
      </w:pPr>
      <w:r w:rsidRPr="00F63815">
        <w:rPr>
          <w:b/>
          <w:bCs/>
        </w:rPr>
        <w:t>D</w:t>
      </w:r>
      <w:r>
        <w:rPr>
          <w:b/>
          <w:bCs/>
        </w:rPr>
        <w:t>EBT WRITE OFF</w:t>
      </w:r>
    </w:p>
    <w:p w:rsidR="006E5829" w:rsidRDefault="006E5829" w:rsidP="002879B1">
      <w:pPr>
        <w:pStyle w:val="ListParagraph"/>
        <w:numPr>
          <w:ilvl w:val="0"/>
          <w:numId w:val="9"/>
        </w:numPr>
        <w:jc w:val="both"/>
      </w:pPr>
      <w:r w:rsidRPr="000F0C4F">
        <w:t>The Council has written off 505 debts totalling £</w:t>
      </w:r>
      <w:r>
        <w:t>400k</w:t>
      </w:r>
      <w:r w:rsidRPr="000F0C4F">
        <w:t xml:space="preserve"> during the year under delegated authority, where they are either irrecoverable or uneconomic to pursue. </w:t>
      </w:r>
    </w:p>
    <w:p w:rsidR="006E5829" w:rsidRPr="002879B1" w:rsidRDefault="006E5829" w:rsidP="002879B1">
      <w:pPr>
        <w:jc w:val="both"/>
      </w:pPr>
    </w:p>
    <w:p w:rsidR="006E5829" w:rsidRPr="000F0C4F" w:rsidRDefault="006E5829" w:rsidP="0087231C">
      <w:pPr>
        <w:pStyle w:val="ListParagraph"/>
        <w:numPr>
          <w:ilvl w:val="0"/>
          <w:numId w:val="9"/>
        </w:numPr>
        <w:spacing w:after="240"/>
        <w:jc w:val="both"/>
      </w:pPr>
      <w:r w:rsidRPr="000F0C4F">
        <w:t>The reported outturn for the Housing Revenue Account includes a contribution to the provision for bad &amp; doubtful debts of £34</w:t>
      </w:r>
      <w:r>
        <w:t>7k</w:t>
      </w:r>
      <w:r w:rsidRPr="000F0C4F">
        <w:t>. This is after allowing for the write off of £169</w:t>
      </w:r>
      <w:r>
        <w:t>k</w:t>
      </w:r>
      <w:r w:rsidRPr="000F0C4F">
        <w:t xml:space="preserve"> HRA debt owed by tenants but which is not recoverable.  </w:t>
      </w:r>
      <w:r>
        <w:t>The Council</w:t>
      </w:r>
      <w:r w:rsidRPr="000F0C4F">
        <w:t xml:space="preserve"> maintain</w:t>
      </w:r>
      <w:r>
        <w:t>s</w:t>
      </w:r>
      <w:r w:rsidRPr="000F0C4F">
        <w:t xml:space="preserve"> a dialogue with tenants using all means available followed by formal correspondence offering repayment plans. Where this is unsuccessful, preparations for legal proceedings are put in place and ultimately eviction as a last resort. The majority of write offs in 2014</w:t>
      </w:r>
      <w:r>
        <w:t>/</w:t>
      </w:r>
      <w:r w:rsidRPr="000F0C4F">
        <w:t>15 relate to former tenants who have left no forwarding address. Although checks are made with Revenues and Benefits and Experian, there is often no alternative but to write off. Approval of Cabinet is sought to write off this irrecoverable debt.</w:t>
      </w:r>
    </w:p>
    <w:p w:rsidR="006E5829" w:rsidRDefault="006E5829">
      <w:pPr>
        <w:rPr>
          <w:b/>
          <w:bCs/>
        </w:rPr>
      </w:pPr>
      <w:r>
        <w:rPr>
          <w:b/>
          <w:bCs/>
        </w:rPr>
        <w:br w:type="page"/>
      </w:r>
    </w:p>
    <w:p w:rsidR="006E5829" w:rsidRPr="00CB62CE" w:rsidRDefault="006E5829" w:rsidP="00C767C6">
      <w:pPr>
        <w:ind w:right="304"/>
        <w:jc w:val="both"/>
        <w:rPr>
          <w:b/>
          <w:bCs/>
        </w:rPr>
      </w:pPr>
      <w:r>
        <w:rPr>
          <w:b/>
          <w:bCs/>
        </w:rPr>
        <w:t>CAPITAL</w:t>
      </w:r>
    </w:p>
    <w:p w:rsidR="006E5829" w:rsidRPr="000F0C4F" w:rsidRDefault="006E5829" w:rsidP="0087231C">
      <w:pPr>
        <w:pStyle w:val="ListParagraph"/>
        <w:numPr>
          <w:ilvl w:val="0"/>
          <w:numId w:val="9"/>
        </w:numPr>
        <w:ind w:right="304"/>
        <w:jc w:val="both"/>
        <w:rPr>
          <w:color w:val="000000"/>
        </w:rPr>
      </w:pPr>
      <w:r w:rsidRPr="000F0C4F">
        <w:t>Total spend on the capital programme for the year is £61.871m (£57.427m General Fund and £4.443m HRA). This compares to an approved budget of £117.87</w:t>
      </w:r>
      <w:r>
        <w:t>7</w:t>
      </w:r>
      <w:r w:rsidRPr="000F0C4F">
        <w:t>m (£107.40</w:t>
      </w:r>
      <w:r>
        <w:t>1</w:t>
      </w:r>
      <w:r w:rsidRPr="000F0C4F">
        <w:t>m General Fund and £10.476m HRA).    The variance of £56.00</w:t>
      </w:r>
      <w:r>
        <w:t>5</w:t>
      </w:r>
      <w:r w:rsidRPr="000F0C4F">
        <w:t>m comprises</w:t>
      </w:r>
      <w:r>
        <w:t xml:space="preserve"> of</w:t>
      </w:r>
      <w:r w:rsidRPr="000F0C4F">
        <w:t xml:space="preserve"> slippage of £48.3</w:t>
      </w:r>
      <w:r>
        <w:t>72</w:t>
      </w:r>
      <w:r w:rsidRPr="000F0C4F">
        <w:t>m General Fund and£</w:t>
      </w:r>
      <w:r>
        <w:t>2.241</w:t>
      </w:r>
      <w:r w:rsidRPr="000F0C4F">
        <w:t>m HRA with underspends of £1.60</w:t>
      </w:r>
      <w:r>
        <w:t>0</w:t>
      </w:r>
      <w:r w:rsidRPr="000F0C4F">
        <w:t>m General Fund and £</w:t>
      </w:r>
      <w:r>
        <w:t xml:space="preserve">3.792m </w:t>
      </w:r>
      <w:r w:rsidRPr="000F0C4F">
        <w:t>HRA</w:t>
      </w:r>
      <w:r w:rsidRPr="000F0C4F">
        <w:rPr>
          <w:color w:val="000000"/>
        </w:rPr>
        <w:t>.</w:t>
      </w:r>
      <w:r>
        <w:rPr>
          <w:color w:val="000000"/>
        </w:rPr>
        <w:t>The underspends on capital will contribute to a revenue saving on capital financing costs.</w:t>
      </w:r>
      <w:r w:rsidRPr="000F0C4F">
        <w:rPr>
          <w:color w:val="000000"/>
        </w:rPr>
        <w:t>The summary position and funding of the programme is shown in table 4.</w:t>
      </w:r>
      <w:r>
        <w:rPr>
          <w:color w:val="000000"/>
        </w:rPr>
        <w:t xml:space="preserve">The slippage identified in Table 4 and detailed in Appendix 3 has been approved under delegated authority as carry forwards by the Chief Finance Officer. </w:t>
      </w:r>
    </w:p>
    <w:p w:rsidR="006E5829" w:rsidRDefault="006E5829" w:rsidP="00BF1FE3">
      <w:pPr>
        <w:ind w:left="360" w:right="304"/>
        <w:rPr>
          <w:i/>
          <w:iCs/>
          <w:color w:val="000000"/>
        </w:rPr>
      </w:pPr>
    </w:p>
    <w:p w:rsidR="006E5829" w:rsidRDefault="006E5829" w:rsidP="00BF1FE3">
      <w:pPr>
        <w:ind w:left="360" w:right="304"/>
        <w:rPr>
          <w:color w:val="000000"/>
        </w:rPr>
      </w:pPr>
      <w:r w:rsidRPr="003A4BD3">
        <w:rPr>
          <w:color w:val="000000"/>
        </w:rPr>
        <w:t xml:space="preserve">Table </w:t>
      </w:r>
      <w:r>
        <w:rPr>
          <w:color w:val="000000"/>
        </w:rPr>
        <w:t>4 Capital Outturn 2014/15 Summary</w:t>
      </w:r>
    </w:p>
    <w:p w:rsidR="006E5829" w:rsidRDefault="006E5829" w:rsidP="00162E61">
      <w:pPr>
        <w:ind w:right="304"/>
        <w:rPr>
          <w:color w:val="000000"/>
        </w:rPr>
      </w:pPr>
      <w:r w:rsidRPr="00B41DE7">
        <w:rPr>
          <w:noProof/>
          <w:color w:val="000000"/>
          <w:lang w:val="en-US"/>
        </w:rPr>
        <w:pict>
          <v:shape id="Picture 4" o:spid="_x0000_i1026" type="#_x0000_t75" style="width:478.5pt;height:468.75pt;visibility:visible">
            <v:imagedata r:id="rId9" o:title=""/>
          </v:shape>
        </w:pict>
      </w:r>
    </w:p>
    <w:p w:rsidR="006E5829" w:rsidRDefault="006E5829" w:rsidP="00BF1FE3">
      <w:pPr>
        <w:ind w:left="360" w:right="304"/>
        <w:rPr>
          <w:rFonts w:ascii="Times New Roman" w:hAnsi="Times New Roman" w:cs="Times New Roman"/>
          <w:sz w:val="20"/>
          <w:szCs w:val="20"/>
          <w:lang w:val="en-US"/>
        </w:rPr>
      </w:pPr>
    </w:p>
    <w:p w:rsidR="006E5829" w:rsidRPr="00611D28" w:rsidRDefault="006E5829" w:rsidP="00AD1AFF">
      <w:pPr>
        <w:ind w:left="360" w:right="304"/>
        <w:rPr>
          <w:i/>
          <w:iCs/>
          <w:color w:val="000000"/>
        </w:rPr>
      </w:pPr>
    </w:p>
    <w:p w:rsidR="006E5829" w:rsidRDefault="006E5829">
      <w:pPr>
        <w:rPr>
          <w:b/>
          <w:bCs/>
          <w:color w:val="000000"/>
        </w:rPr>
      </w:pPr>
      <w:r>
        <w:rPr>
          <w:b/>
          <w:bCs/>
          <w:color w:val="000000"/>
        </w:rPr>
        <w:br w:type="page"/>
      </w:r>
    </w:p>
    <w:p w:rsidR="006E5829" w:rsidRPr="00B204B7" w:rsidRDefault="006E5829" w:rsidP="0087231C">
      <w:pPr>
        <w:pStyle w:val="ListParagraph"/>
        <w:numPr>
          <w:ilvl w:val="0"/>
          <w:numId w:val="9"/>
        </w:numPr>
        <w:spacing w:after="240"/>
        <w:ind w:right="304"/>
        <w:jc w:val="both"/>
        <w:rPr>
          <w:b/>
          <w:bCs/>
          <w:i/>
          <w:iCs/>
          <w:color w:val="000000"/>
        </w:rPr>
      </w:pPr>
      <w:r w:rsidRPr="00B204B7">
        <w:rPr>
          <w:b/>
          <w:bCs/>
          <w:color w:val="000000"/>
        </w:rPr>
        <w:t>Additions to Programme</w:t>
      </w:r>
    </w:p>
    <w:p w:rsidR="006E5829" w:rsidRDefault="006E5829" w:rsidP="00B204B7">
      <w:pPr>
        <w:spacing w:after="240"/>
        <w:ind w:left="14" w:right="304"/>
        <w:jc w:val="both"/>
        <w:rPr>
          <w:color w:val="000000"/>
        </w:rPr>
      </w:pPr>
      <w:r>
        <w:rPr>
          <w:color w:val="000000"/>
        </w:rPr>
        <w:t xml:space="preserve">Additional external funding has been received for the following in </w:t>
      </w:r>
      <w:r w:rsidRPr="00B204B7">
        <w:rPr>
          <w:color w:val="000000"/>
        </w:rPr>
        <w:t>Quarter 4</w:t>
      </w:r>
      <w:r>
        <w:rPr>
          <w:color w:val="000000"/>
        </w:rPr>
        <w:t>and Cabinet is recommended to add these items to the programme.</w:t>
      </w:r>
    </w:p>
    <w:p w:rsidR="006E5829" w:rsidRDefault="006E5829" w:rsidP="00145C62">
      <w:pPr>
        <w:ind w:left="14" w:right="304"/>
        <w:jc w:val="both"/>
        <w:rPr>
          <w:color w:val="000000"/>
        </w:rPr>
      </w:pPr>
      <w:r>
        <w:rPr>
          <w:color w:val="000000"/>
        </w:rPr>
        <w:t>Table 5: Additions to Capital Programme 2014/15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gridCol w:w="1134"/>
      </w:tblGrid>
      <w:tr w:rsidR="006E5829">
        <w:tc>
          <w:tcPr>
            <w:tcW w:w="6048" w:type="dxa"/>
          </w:tcPr>
          <w:p w:rsidR="006E5829" w:rsidRPr="00874570" w:rsidRDefault="006E5829" w:rsidP="00874570">
            <w:pPr>
              <w:spacing w:after="240"/>
              <w:ind w:right="304"/>
              <w:jc w:val="both"/>
              <w:rPr>
                <w:b/>
                <w:bCs/>
                <w:color w:val="000000"/>
              </w:rPr>
            </w:pPr>
            <w:r w:rsidRPr="00874570">
              <w:rPr>
                <w:b/>
                <w:bCs/>
                <w:color w:val="000000"/>
              </w:rPr>
              <w:t>Item</w:t>
            </w:r>
          </w:p>
        </w:tc>
        <w:tc>
          <w:tcPr>
            <w:tcW w:w="1134" w:type="dxa"/>
          </w:tcPr>
          <w:p w:rsidR="006E5829" w:rsidRPr="00874570" w:rsidRDefault="006E5829" w:rsidP="00874570">
            <w:pPr>
              <w:spacing w:after="240"/>
              <w:ind w:right="304"/>
              <w:jc w:val="both"/>
              <w:rPr>
                <w:b/>
                <w:bCs/>
                <w:color w:val="000000"/>
              </w:rPr>
            </w:pPr>
            <w:r w:rsidRPr="00874570">
              <w:rPr>
                <w:b/>
                <w:bCs/>
                <w:color w:val="000000"/>
              </w:rPr>
              <w:t>£000</w:t>
            </w:r>
          </w:p>
        </w:tc>
      </w:tr>
      <w:tr w:rsidR="006E5829">
        <w:tc>
          <w:tcPr>
            <w:tcW w:w="6048" w:type="dxa"/>
          </w:tcPr>
          <w:p w:rsidR="006E5829" w:rsidRPr="00874570" w:rsidRDefault="006E5829" w:rsidP="00874570">
            <w:pPr>
              <w:spacing w:after="240"/>
              <w:ind w:right="304"/>
              <w:jc w:val="both"/>
              <w:rPr>
                <w:color w:val="000000"/>
              </w:rPr>
            </w:pPr>
            <w:r w:rsidRPr="00874570">
              <w:rPr>
                <w:color w:val="000000"/>
              </w:rPr>
              <w:t>Additional Department of Health funding for improving access to information for people with autism</w:t>
            </w:r>
          </w:p>
        </w:tc>
        <w:tc>
          <w:tcPr>
            <w:tcW w:w="1134" w:type="dxa"/>
          </w:tcPr>
          <w:p w:rsidR="006E5829" w:rsidRPr="00874570" w:rsidRDefault="006E5829" w:rsidP="00874570">
            <w:pPr>
              <w:spacing w:after="240"/>
              <w:ind w:right="304"/>
              <w:jc w:val="both"/>
              <w:rPr>
                <w:color w:val="000000"/>
              </w:rPr>
            </w:pPr>
            <w:r w:rsidRPr="00874570">
              <w:rPr>
                <w:color w:val="000000"/>
              </w:rPr>
              <w:t>19</w:t>
            </w:r>
          </w:p>
        </w:tc>
      </w:tr>
      <w:tr w:rsidR="006E5829">
        <w:tc>
          <w:tcPr>
            <w:tcW w:w="6048" w:type="dxa"/>
          </w:tcPr>
          <w:p w:rsidR="006E5829" w:rsidRPr="00874570" w:rsidRDefault="006E5829" w:rsidP="00874570">
            <w:pPr>
              <w:spacing w:after="240"/>
              <w:ind w:right="304"/>
              <w:jc w:val="both"/>
              <w:rPr>
                <w:color w:val="000000"/>
              </w:rPr>
            </w:pPr>
            <w:r w:rsidRPr="00874570">
              <w:rPr>
                <w:color w:val="000000"/>
              </w:rPr>
              <w:t>Additional Highways funding from TFL for LIP programme</w:t>
            </w:r>
          </w:p>
        </w:tc>
        <w:tc>
          <w:tcPr>
            <w:tcW w:w="1134" w:type="dxa"/>
          </w:tcPr>
          <w:p w:rsidR="006E5829" w:rsidRPr="00874570" w:rsidRDefault="006E5829" w:rsidP="00874570">
            <w:pPr>
              <w:spacing w:after="240"/>
              <w:ind w:right="304"/>
              <w:jc w:val="both"/>
              <w:rPr>
                <w:color w:val="000000"/>
              </w:rPr>
            </w:pPr>
            <w:r w:rsidRPr="00874570">
              <w:rPr>
                <w:color w:val="000000"/>
              </w:rPr>
              <w:t>10</w:t>
            </w:r>
          </w:p>
        </w:tc>
      </w:tr>
      <w:tr w:rsidR="006E5829">
        <w:tc>
          <w:tcPr>
            <w:tcW w:w="6048" w:type="dxa"/>
          </w:tcPr>
          <w:p w:rsidR="006E5829" w:rsidRPr="00874570" w:rsidRDefault="006E5829" w:rsidP="00874570">
            <w:pPr>
              <w:spacing w:after="240"/>
              <w:ind w:right="304"/>
              <w:jc w:val="both"/>
              <w:rPr>
                <w:color w:val="000000"/>
              </w:rPr>
            </w:pPr>
            <w:r w:rsidRPr="00874570">
              <w:rPr>
                <w:color w:val="000000"/>
              </w:rPr>
              <w:t>Total</w:t>
            </w:r>
          </w:p>
        </w:tc>
        <w:tc>
          <w:tcPr>
            <w:tcW w:w="1134" w:type="dxa"/>
          </w:tcPr>
          <w:p w:rsidR="006E5829" w:rsidRPr="00874570" w:rsidRDefault="006E5829" w:rsidP="00874570">
            <w:pPr>
              <w:spacing w:after="240"/>
              <w:ind w:right="304"/>
              <w:jc w:val="both"/>
              <w:rPr>
                <w:color w:val="000000"/>
              </w:rPr>
            </w:pPr>
            <w:r w:rsidRPr="00874570">
              <w:rPr>
                <w:color w:val="000000"/>
              </w:rPr>
              <w:t>29</w:t>
            </w:r>
          </w:p>
        </w:tc>
      </w:tr>
    </w:tbl>
    <w:p w:rsidR="006E5829" w:rsidRDefault="006E5829" w:rsidP="000F0C4F">
      <w:pPr>
        <w:spacing w:after="240"/>
        <w:ind w:right="304"/>
        <w:jc w:val="both"/>
        <w:rPr>
          <w:color w:val="000000"/>
        </w:rPr>
      </w:pPr>
    </w:p>
    <w:p w:rsidR="006E5829" w:rsidRDefault="006E5829" w:rsidP="00145C62">
      <w:pPr>
        <w:pStyle w:val="ListParagraph"/>
        <w:numPr>
          <w:ilvl w:val="0"/>
          <w:numId w:val="9"/>
        </w:numPr>
        <w:spacing w:after="240"/>
        <w:ind w:right="304"/>
        <w:jc w:val="both"/>
        <w:rPr>
          <w:b/>
          <w:bCs/>
        </w:rPr>
      </w:pPr>
      <w:r>
        <w:rPr>
          <w:b/>
          <w:bCs/>
        </w:rPr>
        <w:t>Reductions in Programme</w:t>
      </w:r>
    </w:p>
    <w:p w:rsidR="006E5829" w:rsidRPr="00A234E5" w:rsidRDefault="006E5829" w:rsidP="00145C62">
      <w:pPr>
        <w:spacing w:after="240"/>
        <w:ind w:left="374" w:right="304" w:hanging="360"/>
        <w:jc w:val="both"/>
      </w:pPr>
      <w:r w:rsidRPr="00145C62">
        <w:t>Table 6: Reductions in Capital Programme 2014/15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1134"/>
      </w:tblGrid>
      <w:tr w:rsidR="006E5829">
        <w:tc>
          <w:tcPr>
            <w:tcW w:w="6062" w:type="dxa"/>
          </w:tcPr>
          <w:p w:rsidR="006E5829" w:rsidRPr="00874570" w:rsidRDefault="006E5829" w:rsidP="00874570">
            <w:pPr>
              <w:ind w:right="304"/>
              <w:jc w:val="both"/>
              <w:rPr>
                <w:b/>
                <w:bCs/>
              </w:rPr>
            </w:pPr>
            <w:r w:rsidRPr="00874570">
              <w:rPr>
                <w:b/>
                <w:bCs/>
              </w:rPr>
              <w:t>Item</w:t>
            </w:r>
          </w:p>
        </w:tc>
        <w:tc>
          <w:tcPr>
            <w:tcW w:w="1134" w:type="dxa"/>
          </w:tcPr>
          <w:p w:rsidR="006E5829" w:rsidRPr="00874570" w:rsidRDefault="006E5829" w:rsidP="00874570">
            <w:pPr>
              <w:ind w:right="304"/>
              <w:jc w:val="both"/>
              <w:rPr>
                <w:b/>
                <w:bCs/>
              </w:rPr>
            </w:pPr>
            <w:r w:rsidRPr="00874570">
              <w:rPr>
                <w:b/>
                <w:bCs/>
              </w:rPr>
              <w:t>£000</w:t>
            </w:r>
          </w:p>
        </w:tc>
      </w:tr>
      <w:tr w:rsidR="006E5829">
        <w:tc>
          <w:tcPr>
            <w:tcW w:w="6062" w:type="dxa"/>
          </w:tcPr>
          <w:p w:rsidR="006E5829" w:rsidRPr="00874570" w:rsidRDefault="006E5829" w:rsidP="00874570">
            <w:pPr>
              <w:ind w:right="304"/>
              <w:jc w:val="both"/>
            </w:pPr>
            <w:r w:rsidRPr="00874570">
              <w:t>Whitmore High School pitch. Work not proceeding and funding returned to school.</w:t>
            </w:r>
          </w:p>
        </w:tc>
        <w:tc>
          <w:tcPr>
            <w:tcW w:w="1134" w:type="dxa"/>
          </w:tcPr>
          <w:p w:rsidR="006E5829" w:rsidRPr="00874570" w:rsidRDefault="006E5829" w:rsidP="00874570">
            <w:pPr>
              <w:ind w:right="304"/>
              <w:jc w:val="both"/>
            </w:pPr>
            <w:r w:rsidRPr="00874570">
              <w:t>-90</w:t>
            </w:r>
          </w:p>
        </w:tc>
      </w:tr>
      <w:tr w:rsidR="006E5829">
        <w:tc>
          <w:tcPr>
            <w:tcW w:w="6062" w:type="dxa"/>
          </w:tcPr>
          <w:p w:rsidR="006E5829" w:rsidRPr="00874570" w:rsidRDefault="006E5829" w:rsidP="00874570">
            <w:pPr>
              <w:ind w:right="304"/>
              <w:jc w:val="both"/>
            </w:pPr>
            <w:r w:rsidRPr="00874570">
              <w:t>2 Year old entitlement – removed from capital as grant used for revenue spend in accordance with grant conditions</w:t>
            </w:r>
          </w:p>
        </w:tc>
        <w:tc>
          <w:tcPr>
            <w:tcW w:w="1134" w:type="dxa"/>
          </w:tcPr>
          <w:p w:rsidR="006E5829" w:rsidRPr="00874570" w:rsidRDefault="006E5829" w:rsidP="00874570">
            <w:pPr>
              <w:ind w:right="304"/>
              <w:jc w:val="both"/>
            </w:pPr>
            <w:r w:rsidRPr="00874570">
              <w:t>-438</w:t>
            </w:r>
          </w:p>
        </w:tc>
      </w:tr>
      <w:tr w:rsidR="006E5829">
        <w:trPr>
          <w:trHeight w:val="511"/>
        </w:trPr>
        <w:tc>
          <w:tcPr>
            <w:tcW w:w="6062" w:type="dxa"/>
          </w:tcPr>
          <w:p w:rsidR="006E5829" w:rsidRPr="00874570" w:rsidRDefault="006E5829" w:rsidP="00874570">
            <w:pPr>
              <w:ind w:right="304"/>
              <w:jc w:val="both"/>
            </w:pPr>
            <w:r w:rsidRPr="00874570">
              <w:t>Total</w:t>
            </w:r>
          </w:p>
        </w:tc>
        <w:tc>
          <w:tcPr>
            <w:tcW w:w="1134" w:type="dxa"/>
          </w:tcPr>
          <w:p w:rsidR="006E5829" w:rsidRPr="00874570" w:rsidRDefault="006E5829" w:rsidP="00874570">
            <w:pPr>
              <w:ind w:right="304"/>
              <w:jc w:val="both"/>
            </w:pPr>
            <w:r w:rsidRPr="00874570">
              <w:t>-528</w:t>
            </w:r>
          </w:p>
        </w:tc>
      </w:tr>
    </w:tbl>
    <w:p w:rsidR="006E5829" w:rsidRPr="00B204B7" w:rsidRDefault="006E5829" w:rsidP="00B204B7">
      <w:pPr>
        <w:ind w:right="304"/>
        <w:jc w:val="both"/>
        <w:rPr>
          <w:b/>
          <w:bCs/>
        </w:rPr>
      </w:pPr>
    </w:p>
    <w:p w:rsidR="006E5829" w:rsidRDefault="006E5829" w:rsidP="00145C62">
      <w:pPr>
        <w:pStyle w:val="ListParagraph"/>
        <w:numPr>
          <w:ilvl w:val="0"/>
          <w:numId w:val="9"/>
        </w:numPr>
        <w:spacing w:after="240"/>
        <w:ind w:right="304"/>
        <w:jc w:val="both"/>
      </w:pPr>
      <w:r>
        <w:rPr>
          <w:b/>
          <w:bCs/>
        </w:rPr>
        <w:t xml:space="preserve">Virements. </w:t>
      </w:r>
      <w:r w:rsidRPr="00B204B7">
        <w:t>The following virements have been approved under delegated authority</w:t>
      </w:r>
      <w:r>
        <w:t>.</w:t>
      </w:r>
    </w:p>
    <w:p w:rsidR="006E5829" w:rsidRPr="00A234E5" w:rsidRDefault="006E5829" w:rsidP="00145C62">
      <w:pPr>
        <w:ind w:left="14" w:right="304"/>
        <w:jc w:val="both"/>
      </w:pPr>
      <w:r>
        <w:t>Table 7: Virements Approved in Quarter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8"/>
        <w:gridCol w:w="1134"/>
      </w:tblGrid>
      <w:tr w:rsidR="006E5829">
        <w:tc>
          <w:tcPr>
            <w:tcW w:w="6048" w:type="dxa"/>
          </w:tcPr>
          <w:p w:rsidR="006E5829" w:rsidRPr="00874570" w:rsidRDefault="006E5829" w:rsidP="00874570">
            <w:pPr>
              <w:ind w:right="304"/>
              <w:jc w:val="both"/>
              <w:rPr>
                <w:b/>
                <w:bCs/>
              </w:rPr>
            </w:pPr>
            <w:r w:rsidRPr="00874570">
              <w:rPr>
                <w:b/>
                <w:bCs/>
              </w:rPr>
              <w:t>Item</w:t>
            </w:r>
          </w:p>
        </w:tc>
        <w:tc>
          <w:tcPr>
            <w:tcW w:w="1134" w:type="dxa"/>
          </w:tcPr>
          <w:p w:rsidR="006E5829" w:rsidRPr="00874570" w:rsidRDefault="006E5829" w:rsidP="00874570">
            <w:pPr>
              <w:ind w:right="304"/>
              <w:jc w:val="both"/>
              <w:rPr>
                <w:b/>
                <w:bCs/>
              </w:rPr>
            </w:pPr>
            <w:r w:rsidRPr="00874570">
              <w:rPr>
                <w:b/>
                <w:bCs/>
              </w:rPr>
              <w:t>£000</w:t>
            </w:r>
          </w:p>
        </w:tc>
      </w:tr>
      <w:tr w:rsidR="006E5829">
        <w:tc>
          <w:tcPr>
            <w:tcW w:w="6048" w:type="dxa"/>
          </w:tcPr>
          <w:p w:rsidR="006E5829" w:rsidRPr="00874570" w:rsidRDefault="006E5829" w:rsidP="00874570">
            <w:pPr>
              <w:ind w:right="304"/>
              <w:jc w:val="both"/>
            </w:pPr>
            <w:r w:rsidRPr="00874570">
              <w:t>ITO Transformation – reduction in work undertaken</w:t>
            </w:r>
          </w:p>
        </w:tc>
        <w:tc>
          <w:tcPr>
            <w:tcW w:w="1134" w:type="dxa"/>
          </w:tcPr>
          <w:p w:rsidR="006E5829" w:rsidRPr="00874570" w:rsidRDefault="006E5829" w:rsidP="00874570">
            <w:pPr>
              <w:ind w:right="304"/>
              <w:jc w:val="both"/>
            </w:pPr>
            <w:r w:rsidRPr="00874570">
              <w:t>-210</w:t>
            </w:r>
          </w:p>
        </w:tc>
      </w:tr>
      <w:tr w:rsidR="006E5829">
        <w:tc>
          <w:tcPr>
            <w:tcW w:w="6048" w:type="dxa"/>
          </w:tcPr>
          <w:p w:rsidR="006E5829" w:rsidRPr="00874570" w:rsidRDefault="006E5829" w:rsidP="00874570">
            <w:pPr>
              <w:ind w:right="304"/>
              <w:jc w:val="both"/>
            </w:pPr>
            <w:r w:rsidRPr="00874570">
              <w:t>IT Corporate systems refresh – reduction in work undertaken</w:t>
            </w:r>
          </w:p>
        </w:tc>
        <w:tc>
          <w:tcPr>
            <w:tcW w:w="1134" w:type="dxa"/>
          </w:tcPr>
          <w:p w:rsidR="006E5829" w:rsidRPr="00874570" w:rsidRDefault="006E5829" w:rsidP="00874570">
            <w:pPr>
              <w:ind w:right="304"/>
              <w:jc w:val="both"/>
            </w:pPr>
            <w:r w:rsidRPr="00874570">
              <w:t>-100</w:t>
            </w:r>
          </w:p>
        </w:tc>
      </w:tr>
      <w:tr w:rsidR="006E5829">
        <w:trPr>
          <w:trHeight w:val="557"/>
        </w:trPr>
        <w:tc>
          <w:tcPr>
            <w:tcW w:w="6048" w:type="dxa"/>
          </w:tcPr>
          <w:p w:rsidR="006E5829" w:rsidRPr="00874570" w:rsidRDefault="006E5829" w:rsidP="00874570">
            <w:pPr>
              <w:ind w:right="304"/>
              <w:jc w:val="both"/>
            </w:pPr>
            <w:r w:rsidRPr="00874570">
              <w:t>Mobile and flexible working –Accommodation works to facilitate mobile and flexible working</w:t>
            </w:r>
          </w:p>
        </w:tc>
        <w:tc>
          <w:tcPr>
            <w:tcW w:w="1134" w:type="dxa"/>
          </w:tcPr>
          <w:p w:rsidR="006E5829" w:rsidRPr="00874570" w:rsidRDefault="006E5829" w:rsidP="00874570">
            <w:pPr>
              <w:ind w:right="304"/>
              <w:jc w:val="both"/>
            </w:pPr>
            <w:r w:rsidRPr="00874570">
              <w:t>310</w:t>
            </w:r>
          </w:p>
        </w:tc>
      </w:tr>
    </w:tbl>
    <w:p w:rsidR="006E5829" w:rsidRPr="00B204B7" w:rsidRDefault="006E5829" w:rsidP="00B204B7">
      <w:pPr>
        <w:ind w:left="14" w:right="304"/>
        <w:jc w:val="both"/>
        <w:rPr>
          <w:b/>
          <w:bCs/>
        </w:rPr>
      </w:pPr>
    </w:p>
    <w:p w:rsidR="006E5829" w:rsidRPr="000008F4" w:rsidRDefault="006E5829" w:rsidP="000008F4">
      <w:pPr>
        <w:ind w:right="304"/>
        <w:jc w:val="both"/>
        <w:rPr>
          <w:b/>
          <w:bCs/>
        </w:rPr>
      </w:pPr>
      <w:r>
        <w:rPr>
          <w:b/>
          <w:bCs/>
        </w:rPr>
        <w:t>DIRECTORATE PERFORMANCE ON CAPITAL</w:t>
      </w:r>
    </w:p>
    <w:p w:rsidR="006E5829" w:rsidRPr="000008F4" w:rsidRDefault="006E5829" w:rsidP="000008F4">
      <w:pPr>
        <w:ind w:left="14" w:right="304"/>
        <w:jc w:val="both"/>
        <w:rPr>
          <w:b/>
          <w:bCs/>
        </w:rPr>
      </w:pPr>
      <w:r w:rsidRPr="000008F4">
        <w:rPr>
          <w:b/>
          <w:bCs/>
        </w:rPr>
        <w:t>Resources</w:t>
      </w:r>
    </w:p>
    <w:p w:rsidR="006E5829" w:rsidRDefault="006E5829" w:rsidP="00B906F7">
      <w:pPr>
        <w:pStyle w:val="ListParagraph"/>
        <w:numPr>
          <w:ilvl w:val="0"/>
          <w:numId w:val="9"/>
        </w:numPr>
        <w:ind w:right="304"/>
        <w:jc w:val="both"/>
      </w:pPr>
      <w:r w:rsidRPr="000008F4">
        <w:t xml:space="preserve">The directorate spent </w:t>
      </w:r>
      <w:r>
        <w:t xml:space="preserve">£9.012m against a budget of £18.607m, a 48.4% spend. £8.547m of the variance has slipped to 2015/16 with an underspend of £1.047m. The key reason for slippage has been Capita delivery issues.  In addition, given the impending end of the Capita contract, some work that previously would have been placed with Capita is being held over until the new contractor is in place. </w:t>
      </w:r>
    </w:p>
    <w:p w:rsidR="006E5829" w:rsidRPr="00B906F7" w:rsidRDefault="006E5829" w:rsidP="00B906F7">
      <w:pPr>
        <w:ind w:left="14" w:right="304"/>
        <w:jc w:val="both"/>
      </w:pPr>
    </w:p>
    <w:p w:rsidR="006E5829" w:rsidRDefault="006E5829" w:rsidP="00B169C1">
      <w:pPr>
        <w:pStyle w:val="ListParagraph"/>
        <w:numPr>
          <w:ilvl w:val="0"/>
          <w:numId w:val="9"/>
        </w:numPr>
        <w:ind w:right="304"/>
        <w:jc w:val="both"/>
      </w:pPr>
      <w:r>
        <w:t>There has been slippage of £2.219m on the loan to West London Waste Authority due to delays in the progress of their investment programme.</w:t>
      </w:r>
    </w:p>
    <w:p w:rsidR="006E5829" w:rsidRPr="00B169C1" w:rsidRDefault="006E5829" w:rsidP="00B169C1">
      <w:pPr>
        <w:ind w:left="14" w:right="304"/>
        <w:jc w:val="both"/>
      </w:pPr>
    </w:p>
    <w:p w:rsidR="006E5829" w:rsidRPr="00B906F7" w:rsidRDefault="006E5829" w:rsidP="00B906F7">
      <w:pPr>
        <w:ind w:left="14" w:right="304"/>
        <w:jc w:val="both"/>
        <w:rPr>
          <w:b/>
          <w:bCs/>
        </w:rPr>
      </w:pPr>
      <w:r w:rsidRPr="00B906F7">
        <w:rPr>
          <w:b/>
          <w:bCs/>
        </w:rPr>
        <w:t>Environment and Enterprise</w:t>
      </w:r>
    </w:p>
    <w:p w:rsidR="006E5829" w:rsidRDefault="006E5829" w:rsidP="00B16773">
      <w:pPr>
        <w:pStyle w:val="ListParagraph"/>
        <w:numPr>
          <w:ilvl w:val="0"/>
          <w:numId w:val="9"/>
        </w:numPr>
        <w:ind w:right="304"/>
        <w:jc w:val="both"/>
      </w:pPr>
      <w:r w:rsidRPr="00C7624F">
        <w:t xml:space="preserve">The directorate spent </w:t>
      </w:r>
      <w:r>
        <w:t xml:space="preserve">£21.915m against a budget of </w:t>
      </w:r>
      <w:r w:rsidRPr="00C7624F">
        <w:t>£24.874m</w:t>
      </w:r>
      <w:r>
        <w:t xml:space="preserve">, a spend of 88.1%. All of the variance of £2.959m has been slipped to 2015/16. </w:t>
      </w:r>
    </w:p>
    <w:p w:rsidR="006E5829" w:rsidRPr="00B16773" w:rsidRDefault="006E5829" w:rsidP="00B16773">
      <w:pPr>
        <w:ind w:right="304"/>
        <w:jc w:val="both"/>
      </w:pPr>
    </w:p>
    <w:p w:rsidR="006E5829" w:rsidRPr="00B16773" w:rsidRDefault="006E5829" w:rsidP="00B16773">
      <w:pPr>
        <w:pStyle w:val="ListParagraph"/>
        <w:numPr>
          <w:ilvl w:val="0"/>
          <w:numId w:val="9"/>
        </w:numPr>
        <w:ind w:right="304"/>
        <w:jc w:val="both"/>
      </w:pPr>
      <w:r w:rsidRPr="00B16773">
        <w:t xml:space="preserve">The capital funding was spent to invest in the Boroughs infrastructure and improve the place, both for residents and staff. Some of these improvements have generated additional income, particularly from disused parks buildings that were brought back into use. Others, such as the rationalisation of accommodation have yielded savings both on maintenance and utilities. Likewise, investment on the highways network will reduce reactive maintenance costs in the future. Some projects contributed significantly to social regeneration by making available more buildings for community use. </w:t>
      </w:r>
    </w:p>
    <w:p w:rsidR="006E5829" w:rsidRPr="00B16773" w:rsidRDefault="006E5829" w:rsidP="00B16773">
      <w:pPr>
        <w:ind w:left="14" w:right="304"/>
        <w:jc w:val="both"/>
      </w:pPr>
    </w:p>
    <w:p w:rsidR="006E5829" w:rsidRPr="00B16773" w:rsidRDefault="006E5829" w:rsidP="00B16773">
      <w:pPr>
        <w:pStyle w:val="ListParagraph"/>
        <w:numPr>
          <w:ilvl w:val="0"/>
          <w:numId w:val="9"/>
        </w:numPr>
        <w:ind w:right="304"/>
        <w:jc w:val="both"/>
      </w:pPr>
      <w:r w:rsidRPr="00B16773">
        <w:t>Some of the key projects and outcomes were:</w:t>
      </w:r>
    </w:p>
    <w:p w:rsidR="006E5829" w:rsidRPr="00B16773" w:rsidRDefault="006E5829" w:rsidP="00B16773">
      <w:pPr>
        <w:pStyle w:val="ListParagraph"/>
        <w:numPr>
          <w:ilvl w:val="1"/>
          <w:numId w:val="9"/>
        </w:numPr>
        <w:ind w:right="304"/>
        <w:jc w:val="both"/>
      </w:pPr>
      <w:r w:rsidRPr="00B16773">
        <w:t>Town Centre Improvements: The heart of the town centre has been revitalised with work around St Ann’s road, Havelock Place, and the new urban park and cafe at Lowlands. This has bolstered the feel and economy of the town centre.</w:t>
      </w:r>
    </w:p>
    <w:p w:rsidR="006E5829" w:rsidRPr="00B16773" w:rsidRDefault="006E5829" w:rsidP="00B16773">
      <w:pPr>
        <w:pStyle w:val="ListParagraph"/>
        <w:numPr>
          <w:ilvl w:val="1"/>
          <w:numId w:val="9"/>
        </w:numPr>
        <w:ind w:right="304"/>
        <w:jc w:val="both"/>
      </w:pPr>
      <w:r w:rsidRPr="00B16773">
        <w:t>Park buildings: Improvements made to a number of buildings including</w:t>
      </w:r>
    </w:p>
    <w:p w:rsidR="006E5829" w:rsidRPr="00B16773" w:rsidRDefault="006E5829" w:rsidP="00B16773">
      <w:pPr>
        <w:pStyle w:val="ListParagraph"/>
        <w:numPr>
          <w:ilvl w:val="1"/>
          <w:numId w:val="9"/>
        </w:numPr>
        <w:ind w:right="304"/>
        <w:jc w:val="both"/>
      </w:pPr>
      <w:r w:rsidRPr="00B16773">
        <w:t>Byron Recreation refurbishment of changing rooms</w:t>
      </w:r>
    </w:p>
    <w:p w:rsidR="006E5829" w:rsidRPr="00B16773" w:rsidRDefault="006E5829" w:rsidP="00B16773">
      <w:pPr>
        <w:pStyle w:val="ListParagraph"/>
        <w:numPr>
          <w:ilvl w:val="1"/>
          <w:numId w:val="9"/>
        </w:numPr>
        <w:ind w:right="304"/>
        <w:jc w:val="both"/>
      </w:pPr>
      <w:r w:rsidRPr="00B16773">
        <w:t>Renovation of a disused toilet block to become a West Harrow café and provide rental income for the council</w:t>
      </w:r>
    </w:p>
    <w:p w:rsidR="006E5829" w:rsidRPr="00B16773" w:rsidRDefault="006E5829" w:rsidP="00B16773">
      <w:pPr>
        <w:pStyle w:val="ListParagraph"/>
        <w:numPr>
          <w:ilvl w:val="1"/>
          <w:numId w:val="9"/>
        </w:numPr>
        <w:ind w:right="304"/>
        <w:jc w:val="both"/>
      </w:pPr>
      <w:r w:rsidRPr="00B16773">
        <w:t>Pinner Cemetery Chapel refurbishment which results in increased bookings</w:t>
      </w:r>
    </w:p>
    <w:p w:rsidR="006E5829" w:rsidRPr="00B16773" w:rsidRDefault="006E5829" w:rsidP="00B16773">
      <w:pPr>
        <w:pStyle w:val="ListParagraph"/>
        <w:numPr>
          <w:ilvl w:val="1"/>
          <w:numId w:val="9"/>
        </w:numPr>
        <w:ind w:right="304"/>
        <w:jc w:val="both"/>
      </w:pPr>
      <w:r w:rsidRPr="00B16773">
        <w:t>Renovation of a disused building at the Croft to create a sports venue to host the Boxing Club</w:t>
      </w:r>
    </w:p>
    <w:p w:rsidR="006E5829" w:rsidRPr="00B16773" w:rsidRDefault="006E5829" w:rsidP="00B16773">
      <w:pPr>
        <w:pStyle w:val="ListParagraph"/>
        <w:numPr>
          <w:ilvl w:val="1"/>
          <w:numId w:val="9"/>
        </w:numPr>
        <w:ind w:right="304"/>
        <w:jc w:val="both"/>
      </w:pPr>
      <w:r w:rsidRPr="00B16773">
        <w:t xml:space="preserve">Green gyms: Installation of 13 new green gyms to improve community access to healthy activities and promote physical exercises </w:t>
      </w:r>
    </w:p>
    <w:p w:rsidR="006E5829" w:rsidRPr="00B16773" w:rsidRDefault="006E5829" w:rsidP="00B16773">
      <w:pPr>
        <w:pStyle w:val="ListParagraph"/>
        <w:numPr>
          <w:ilvl w:val="1"/>
          <w:numId w:val="9"/>
        </w:numPr>
        <w:ind w:right="304"/>
        <w:jc w:val="both"/>
      </w:pPr>
      <w:r w:rsidRPr="00B16773">
        <w:t xml:space="preserve">Street Lights: </w:t>
      </w:r>
      <w:r>
        <w:t>R</w:t>
      </w:r>
      <w:r w:rsidRPr="00B16773">
        <w:t>eplaced around 1,000 lighting columns with LED technology to improve safety and energy efficiency</w:t>
      </w:r>
    </w:p>
    <w:p w:rsidR="006E5829" w:rsidRPr="00B16773" w:rsidRDefault="006E5829" w:rsidP="00B16773">
      <w:pPr>
        <w:pStyle w:val="ListParagraph"/>
        <w:numPr>
          <w:ilvl w:val="1"/>
          <w:numId w:val="9"/>
        </w:numPr>
        <w:ind w:right="304"/>
        <w:jc w:val="both"/>
      </w:pPr>
      <w:r w:rsidRPr="00B16773">
        <w:t xml:space="preserve">Trees: </w:t>
      </w:r>
      <w:r>
        <w:t>P</w:t>
      </w:r>
      <w:r w:rsidRPr="00B16773">
        <w:t xml:space="preserve">lanted over 500 street trees to green </w:t>
      </w:r>
      <w:r>
        <w:t>the</w:t>
      </w:r>
      <w:r w:rsidRPr="00B16773">
        <w:t xml:space="preserve"> environment.</w:t>
      </w:r>
    </w:p>
    <w:p w:rsidR="006E5829" w:rsidRPr="00B16773" w:rsidRDefault="006E5829" w:rsidP="00B16773">
      <w:pPr>
        <w:pStyle w:val="ListParagraph"/>
        <w:numPr>
          <w:ilvl w:val="1"/>
          <w:numId w:val="9"/>
        </w:numPr>
        <w:ind w:right="304"/>
        <w:jc w:val="both"/>
      </w:pPr>
      <w:r w:rsidRPr="00B16773">
        <w:t xml:space="preserve">Parking: </w:t>
      </w:r>
      <w:r>
        <w:t xml:space="preserve">Introduction of </w:t>
      </w:r>
      <w:r w:rsidRPr="00B16773">
        <w:t>20 minutes free parking at district centres to encourage footfall and support local businesses’ growth.</w:t>
      </w:r>
    </w:p>
    <w:p w:rsidR="006E5829" w:rsidRPr="00B16773" w:rsidRDefault="006E5829" w:rsidP="00B16773">
      <w:pPr>
        <w:pStyle w:val="ListParagraph"/>
        <w:numPr>
          <w:ilvl w:val="1"/>
          <w:numId w:val="9"/>
        </w:numPr>
        <w:ind w:right="304"/>
        <w:jc w:val="both"/>
      </w:pPr>
      <w:r w:rsidRPr="00B16773">
        <w:t xml:space="preserve">Highways: </w:t>
      </w:r>
      <w:r>
        <w:t>R</w:t>
      </w:r>
      <w:r w:rsidRPr="00B16773">
        <w:t xml:space="preserve">e-surfaced 30.7 km of Harrows 460km road network and carried out 1,781 repairs to carriageways including potholes related work. </w:t>
      </w:r>
      <w:r>
        <w:t>R</w:t>
      </w:r>
      <w:r w:rsidRPr="00B16773">
        <w:t>econstructed 15,639 linear meters of footways and carried out 3,174 repairs to footways to improve safety to residents and visitors.</w:t>
      </w:r>
    </w:p>
    <w:p w:rsidR="006E5829" w:rsidRDefault="006E5829" w:rsidP="00B16773">
      <w:pPr>
        <w:pStyle w:val="ListParagraph"/>
        <w:numPr>
          <w:ilvl w:val="1"/>
          <w:numId w:val="9"/>
        </w:numPr>
        <w:ind w:right="304"/>
        <w:jc w:val="both"/>
      </w:pPr>
      <w:r w:rsidRPr="00B16773">
        <w:t>Corporate Accommodation: Refurbishment works across the Civic Centre to consolidate buildings into Civic 1 Complex and improvements to toilets and car parking / cycling facilities were made to improve security, staff welfare and energy efficiency.</w:t>
      </w:r>
    </w:p>
    <w:p w:rsidR="006E5829" w:rsidRPr="00C7624F" w:rsidRDefault="006E5829" w:rsidP="00C7624F">
      <w:pPr>
        <w:ind w:left="14" w:right="304"/>
        <w:jc w:val="both"/>
      </w:pPr>
    </w:p>
    <w:p w:rsidR="006E5829" w:rsidRPr="00B906F7" w:rsidRDefault="006E5829" w:rsidP="00B906F7">
      <w:pPr>
        <w:ind w:left="14" w:right="304"/>
        <w:jc w:val="both"/>
        <w:rPr>
          <w:b/>
          <w:bCs/>
        </w:rPr>
      </w:pPr>
      <w:r w:rsidRPr="00B906F7">
        <w:rPr>
          <w:b/>
          <w:bCs/>
        </w:rPr>
        <w:t>Community, Health and Wellbeing</w:t>
      </w:r>
    </w:p>
    <w:p w:rsidR="006E5829" w:rsidRDefault="006E5829" w:rsidP="0087231C">
      <w:pPr>
        <w:pStyle w:val="ListParagraph"/>
        <w:numPr>
          <w:ilvl w:val="0"/>
          <w:numId w:val="9"/>
        </w:numPr>
        <w:ind w:right="304"/>
        <w:jc w:val="both"/>
      </w:pPr>
      <w:r w:rsidRPr="00601DA5">
        <w:t xml:space="preserve">The directorate spent </w:t>
      </w:r>
      <w:r>
        <w:t>£3.443m against a budget of £10.569m, a 32.6% spend. £6.572m of the £7.126m variance has been slipped to 2015/16 with an underspend on the programme of £0.553m. There have been delays on a number of schemes within the programme resulting in slippage. The most significant ones are:</w:t>
      </w:r>
    </w:p>
    <w:p w:rsidR="006E5829" w:rsidRPr="00D217C5" w:rsidRDefault="006E5829" w:rsidP="00D217C5">
      <w:pPr>
        <w:ind w:left="14" w:right="304"/>
        <w:jc w:val="both"/>
      </w:pPr>
    </w:p>
    <w:p w:rsidR="006E5829" w:rsidRDefault="006E5829" w:rsidP="0062749B">
      <w:pPr>
        <w:pStyle w:val="ListParagraph"/>
        <w:numPr>
          <w:ilvl w:val="1"/>
          <w:numId w:val="9"/>
        </w:numPr>
        <w:ind w:right="304"/>
        <w:jc w:val="both"/>
      </w:pPr>
      <w:r>
        <w:t>Mosaic £0.606m. Delays in the availability of software from the supplier.</w:t>
      </w:r>
    </w:p>
    <w:p w:rsidR="006E5829" w:rsidRDefault="006E5829" w:rsidP="0062749B">
      <w:pPr>
        <w:pStyle w:val="ListParagraph"/>
        <w:numPr>
          <w:ilvl w:val="1"/>
          <w:numId w:val="9"/>
        </w:numPr>
        <w:ind w:right="304"/>
        <w:jc w:val="both"/>
      </w:pPr>
      <w:r>
        <w:t>Headstone Manor £1.086m. Delay in agreement of Heritage Lottery fund grant.</w:t>
      </w:r>
    </w:p>
    <w:p w:rsidR="006E5829" w:rsidRDefault="006E5829" w:rsidP="00F845C3">
      <w:pPr>
        <w:pStyle w:val="ListParagraph"/>
        <w:numPr>
          <w:ilvl w:val="1"/>
          <w:numId w:val="9"/>
        </w:numPr>
        <w:ind w:right="304"/>
        <w:jc w:val="both"/>
      </w:pPr>
      <w:r>
        <w:t xml:space="preserve">S106 Bannister Sports Pitches. £1.004m. </w:t>
      </w:r>
      <w:r w:rsidRPr="00F845C3">
        <w:t xml:space="preserve">There has been a delay in the S106 funding being received by the Council due to delays in the redevelopment of the Kodak site. </w:t>
      </w:r>
    </w:p>
    <w:p w:rsidR="006E5829" w:rsidRDefault="006E5829" w:rsidP="0062749B">
      <w:pPr>
        <w:pStyle w:val="ListParagraph"/>
        <w:numPr>
          <w:ilvl w:val="1"/>
          <w:numId w:val="9"/>
        </w:numPr>
        <w:ind w:right="304"/>
        <w:jc w:val="both"/>
      </w:pPr>
      <w:r>
        <w:t>Green Deals Community Funding £1.357m. Delays in identifying suitable properties.</w:t>
      </w:r>
    </w:p>
    <w:p w:rsidR="006E5829" w:rsidRDefault="006E5829" w:rsidP="00B906F7">
      <w:pPr>
        <w:ind w:left="14" w:right="304"/>
        <w:jc w:val="both"/>
        <w:rPr>
          <w:b/>
          <w:bCs/>
        </w:rPr>
      </w:pPr>
    </w:p>
    <w:p w:rsidR="006E5829" w:rsidRPr="00B906F7" w:rsidRDefault="006E5829" w:rsidP="00B906F7">
      <w:pPr>
        <w:ind w:left="14" w:right="304"/>
        <w:jc w:val="both"/>
        <w:rPr>
          <w:b/>
          <w:bCs/>
        </w:rPr>
      </w:pPr>
      <w:r w:rsidRPr="00B906F7">
        <w:rPr>
          <w:b/>
          <w:bCs/>
        </w:rPr>
        <w:t>Children &amp; Families</w:t>
      </w:r>
    </w:p>
    <w:p w:rsidR="006E5829" w:rsidRPr="00601DA5" w:rsidRDefault="006E5829" w:rsidP="00601DA5">
      <w:pPr>
        <w:pStyle w:val="ListParagraph"/>
        <w:numPr>
          <w:ilvl w:val="0"/>
          <w:numId w:val="9"/>
        </w:numPr>
        <w:ind w:right="304"/>
        <w:jc w:val="both"/>
      </w:pPr>
      <w:r w:rsidRPr="00601DA5">
        <w:t>The directorate spent £23.057m against a budget of £53.352m, a 43.2% spend. All of the variance has been carried forward to 2015/16. The delay was as a result of the increase in construction work activity in the country as a whole which caused some problems in obtaining competitive quotes and employing sufficient resources to deliver a large scale building programme and delayed the process of agreeing prices and starting works on site.</w:t>
      </w:r>
    </w:p>
    <w:p w:rsidR="006E5829" w:rsidRPr="00601DA5" w:rsidRDefault="006E5829" w:rsidP="00601DA5">
      <w:pPr>
        <w:ind w:left="14" w:right="304"/>
        <w:jc w:val="both"/>
      </w:pPr>
    </w:p>
    <w:p w:rsidR="006E5829" w:rsidRPr="00944063" w:rsidRDefault="006E5829" w:rsidP="00601DA5">
      <w:pPr>
        <w:pStyle w:val="ListParagraph"/>
        <w:numPr>
          <w:ilvl w:val="0"/>
          <w:numId w:val="9"/>
        </w:numPr>
        <w:ind w:right="304"/>
        <w:jc w:val="both"/>
        <w:rPr>
          <w:b/>
          <w:bCs/>
        </w:rPr>
      </w:pPr>
      <w:r w:rsidRPr="000F0C4F">
        <w:rPr>
          <w:color w:val="000000"/>
        </w:rPr>
        <w:t xml:space="preserve">The capital programme by directorate is included at Appendix 3 showing performance against the latest approved budget for each programme line. </w:t>
      </w:r>
    </w:p>
    <w:p w:rsidR="006E5829" w:rsidRPr="00944063" w:rsidRDefault="006E5829" w:rsidP="00944063">
      <w:pPr>
        <w:pStyle w:val="ListParagraph"/>
        <w:rPr>
          <w:b/>
          <w:bCs/>
        </w:rPr>
      </w:pPr>
    </w:p>
    <w:p w:rsidR="006E5829" w:rsidRPr="00944063" w:rsidRDefault="006E5829" w:rsidP="00944063">
      <w:pPr>
        <w:ind w:left="14" w:right="304"/>
        <w:jc w:val="both"/>
        <w:rPr>
          <w:b/>
          <w:bCs/>
        </w:rPr>
      </w:pPr>
      <w:r w:rsidRPr="00944063">
        <w:rPr>
          <w:b/>
          <w:bCs/>
        </w:rPr>
        <w:t>Housing Revenue Account</w:t>
      </w:r>
    </w:p>
    <w:p w:rsidR="006E5829" w:rsidRPr="00944063" w:rsidRDefault="006E5829" w:rsidP="00601DA5">
      <w:pPr>
        <w:pStyle w:val="ListParagraph"/>
        <w:numPr>
          <w:ilvl w:val="0"/>
          <w:numId w:val="9"/>
        </w:numPr>
        <w:ind w:right="304"/>
        <w:jc w:val="both"/>
      </w:pPr>
      <w:r w:rsidRPr="00944063">
        <w:t>The HRA spent £4.443m against a budget of £10.476m, a spend of 42.4%</w:t>
      </w:r>
      <w:r>
        <w:t>. £2.241m of the variance has been slipped to 2015/16.  A further £3.097m, shown as underspend was included in the 2015/16 programme approved by Cabinet in February.</w:t>
      </w:r>
    </w:p>
    <w:p w:rsidR="006E5829" w:rsidRPr="005C5316" w:rsidRDefault="006E5829" w:rsidP="005C5316">
      <w:pPr>
        <w:pStyle w:val="ListParagraph"/>
        <w:rPr>
          <w:b/>
          <w:bCs/>
        </w:rPr>
      </w:pPr>
    </w:p>
    <w:p w:rsidR="006E5829" w:rsidRPr="005C5316" w:rsidRDefault="006E5829" w:rsidP="005C5316">
      <w:pPr>
        <w:ind w:left="14" w:right="304"/>
        <w:jc w:val="both"/>
        <w:rPr>
          <w:b/>
          <w:bCs/>
        </w:rPr>
      </w:pPr>
      <w:r>
        <w:rPr>
          <w:b/>
          <w:bCs/>
        </w:rPr>
        <w:t>2015/16 CAPITAL PROGRAMME</w:t>
      </w:r>
    </w:p>
    <w:p w:rsidR="006E5829" w:rsidRDefault="006E5829" w:rsidP="00FB11AF">
      <w:pPr>
        <w:pStyle w:val="ListParagraph"/>
        <w:numPr>
          <w:ilvl w:val="0"/>
          <w:numId w:val="9"/>
        </w:numPr>
        <w:spacing w:after="120"/>
        <w:ind w:right="304"/>
        <w:jc w:val="both"/>
      </w:pPr>
      <w:r w:rsidRPr="005C5316">
        <w:t xml:space="preserve">Following </w:t>
      </w:r>
      <w:r>
        <w:t>a review of capital requirements under the recently signed IT contract operational from November 2015, it has been identified that the total provided in the capital programme exceeds the amount required by £2.600m.  It is recommended that this is vired from the IT capital budget to the following areas:</w:t>
      </w:r>
    </w:p>
    <w:p w:rsidR="006E5829" w:rsidRDefault="006E5829" w:rsidP="005C5316">
      <w:pPr>
        <w:pStyle w:val="ListParagraph"/>
        <w:numPr>
          <w:ilvl w:val="1"/>
          <w:numId w:val="9"/>
        </w:numPr>
        <w:ind w:right="304"/>
        <w:jc w:val="both"/>
      </w:pPr>
      <w:r>
        <w:t>Environment &amp;Enterprise Highways Programme £2.100m</w:t>
      </w:r>
    </w:p>
    <w:p w:rsidR="006E5829" w:rsidRDefault="006E5829" w:rsidP="00FB11AF">
      <w:pPr>
        <w:pStyle w:val="ListParagraph"/>
        <w:numPr>
          <w:ilvl w:val="1"/>
          <w:numId w:val="9"/>
        </w:numPr>
        <w:ind w:right="304"/>
        <w:jc w:val="both"/>
      </w:pPr>
      <w:r>
        <w:t>Minor works responsive capital programme £0.500m</w:t>
      </w:r>
    </w:p>
    <w:p w:rsidR="006E5829" w:rsidRPr="00D217C5" w:rsidRDefault="006E5829" w:rsidP="00D217C5">
      <w:pPr>
        <w:ind w:left="734" w:right="304"/>
        <w:jc w:val="both"/>
      </w:pPr>
    </w:p>
    <w:p w:rsidR="006E5829" w:rsidRPr="005C5316" w:rsidRDefault="006E5829" w:rsidP="00FB11AF">
      <w:pPr>
        <w:pStyle w:val="ListParagraph"/>
        <w:numPr>
          <w:ilvl w:val="0"/>
          <w:numId w:val="9"/>
        </w:numPr>
        <w:ind w:right="304"/>
        <w:jc w:val="both"/>
      </w:pPr>
      <w:r>
        <w:t>The capital investment in these areas will result in the achievement of on-going revenue savings.</w:t>
      </w:r>
    </w:p>
    <w:p w:rsidR="006E5829" w:rsidRDefault="006E5829" w:rsidP="00C767C6">
      <w:pPr>
        <w:ind w:left="561" w:right="304" w:hanging="561"/>
        <w:jc w:val="both"/>
        <w:rPr>
          <w:b/>
          <w:bCs/>
        </w:rPr>
      </w:pPr>
    </w:p>
    <w:p w:rsidR="006E5829" w:rsidRPr="00033CFC" w:rsidRDefault="006E5829" w:rsidP="00033CFC">
      <w:pPr>
        <w:autoSpaceDE w:val="0"/>
        <w:autoSpaceDN w:val="0"/>
        <w:adjustRightInd w:val="0"/>
        <w:jc w:val="both"/>
        <w:rPr>
          <w:b/>
          <w:bCs/>
          <w:color w:val="000000"/>
          <w:lang w:val="en-US"/>
        </w:rPr>
      </w:pPr>
      <w:r w:rsidRPr="00033CFC">
        <w:rPr>
          <w:b/>
          <w:bCs/>
          <w:color w:val="000000"/>
          <w:lang w:val="en-US"/>
        </w:rPr>
        <w:t>TIMETABLE FOR ACCOUNTS COMPLETION AND EXTERNAL AUDIT REVIEW</w:t>
      </w:r>
    </w:p>
    <w:p w:rsidR="006E5829" w:rsidRPr="000F0C4F" w:rsidRDefault="006E5829" w:rsidP="00342FA2">
      <w:pPr>
        <w:pStyle w:val="ListParagraph"/>
        <w:numPr>
          <w:ilvl w:val="0"/>
          <w:numId w:val="9"/>
        </w:numPr>
        <w:autoSpaceDE w:val="0"/>
        <w:autoSpaceDN w:val="0"/>
        <w:adjustRightInd w:val="0"/>
        <w:jc w:val="both"/>
        <w:rPr>
          <w:color w:val="000000"/>
          <w:lang w:val="en-US"/>
        </w:rPr>
      </w:pPr>
      <w:r w:rsidRPr="000F0C4F">
        <w:rPr>
          <w:color w:val="000000"/>
          <w:lang w:val="en-US"/>
        </w:rPr>
        <w:t>The draft accounts will be completed by 24</w:t>
      </w:r>
      <w:r w:rsidRPr="000F0C4F">
        <w:rPr>
          <w:color w:val="000000"/>
          <w:vertAlign w:val="superscript"/>
          <w:lang w:val="en-US"/>
        </w:rPr>
        <w:t>th</w:t>
      </w:r>
      <w:r w:rsidRPr="000F0C4F">
        <w:rPr>
          <w:color w:val="000000"/>
          <w:lang w:val="en-US"/>
        </w:rPr>
        <w:t xml:space="preserve"> June before the statutory deadline of 30</w:t>
      </w:r>
      <w:r w:rsidRPr="000F0C4F">
        <w:rPr>
          <w:color w:val="000000"/>
          <w:vertAlign w:val="superscript"/>
          <w:lang w:val="en-US"/>
        </w:rPr>
        <w:t>th</w:t>
      </w:r>
      <w:r w:rsidRPr="000F0C4F">
        <w:rPr>
          <w:color w:val="000000"/>
          <w:lang w:val="en-US"/>
        </w:rPr>
        <w:t xml:space="preserve"> June and the audit will commence on 29</w:t>
      </w:r>
      <w:r w:rsidRPr="000F0C4F">
        <w:rPr>
          <w:color w:val="000000"/>
          <w:vertAlign w:val="superscript"/>
          <w:lang w:val="en-US"/>
        </w:rPr>
        <w:t>th</w:t>
      </w:r>
      <w:r w:rsidRPr="000F0C4F">
        <w:rPr>
          <w:color w:val="000000"/>
          <w:lang w:val="en-US"/>
        </w:rPr>
        <w:t xml:space="preserve"> June 2015.  </w:t>
      </w:r>
      <w:r w:rsidRPr="00342FA2">
        <w:rPr>
          <w:color w:val="000000"/>
          <w:lang w:val="en-US"/>
        </w:rPr>
        <w:t>The draft accounts will be considered by the Governance, Audit, Risk Management and Standards Committee (GARMS) at their July meeting.</w:t>
      </w:r>
      <w:r w:rsidRPr="000F0C4F">
        <w:rPr>
          <w:color w:val="000000"/>
          <w:lang w:val="en-US"/>
        </w:rPr>
        <w:t xml:space="preserve">The final accounts </w:t>
      </w:r>
      <w:r>
        <w:rPr>
          <w:color w:val="000000"/>
          <w:lang w:val="en-US"/>
        </w:rPr>
        <w:t xml:space="preserve">will be </w:t>
      </w:r>
      <w:r w:rsidRPr="000F0C4F">
        <w:rPr>
          <w:color w:val="000000"/>
          <w:lang w:val="en-US"/>
        </w:rPr>
        <w:t>considered by the (GARMS) on 10 September 2015 and must be signed off by the Council and the Auditor by the end of September.</w:t>
      </w:r>
    </w:p>
    <w:p w:rsidR="006E5829" w:rsidRDefault="006E5829">
      <w:pPr>
        <w:rPr>
          <w:b/>
          <w:bCs/>
        </w:rPr>
      </w:pPr>
      <w:r>
        <w:rPr>
          <w:b/>
          <w:bCs/>
        </w:rPr>
        <w:br w:type="page"/>
      </w:r>
    </w:p>
    <w:p w:rsidR="006E5829" w:rsidRDefault="006E5829" w:rsidP="00C767C6">
      <w:pPr>
        <w:jc w:val="both"/>
        <w:rPr>
          <w:b/>
          <w:bCs/>
        </w:rPr>
      </w:pPr>
      <w:r>
        <w:rPr>
          <w:b/>
          <w:bCs/>
        </w:rPr>
        <w:t>LEGAL IMPLICATIONS</w:t>
      </w:r>
    </w:p>
    <w:p w:rsidR="006E5829" w:rsidRDefault="006E5829" w:rsidP="00145C62">
      <w:pPr>
        <w:pStyle w:val="ListParagraph"/>
        <w:numPr>
          <w:ilvl w:val="0"/>
          <w:numId w:val="9"/>
        </w:numPr>
        <w:autoSpaceDE w:val="0"/>
        <w:autoSpaceDN w:val="0"/>
        <w:adjustRightInd w:val="0"/>
        <w:jc w:val="both"/>
        <w:rPr>
          <w:lang w:val="en-US"/>
        </w:rPr>
      </w:pPr>
      <w:r w:rsidRPr="000F0C4F">
        <w:rPr>
          <w:lang w:val="en-US"/>
        </w:rPr>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w:t>
      </w:r>
    </w:p>
    <w:p w:rsidR="006E5829" w:rsidRPr="00D36305" w:rsidRDefault="006E5829" w:rsidP="00145C62">
      <w:pPr>
        <w:autoSpaceDE w:val="0"/>
        <w:autoSpaceDN w:val="0"/>
        <w:adjustRightInd w:val="0"/>
        <w:ind w:left="14"/>
        <w:jc w:val="both"/>
        <w:rPr>
          <w:lang w:val="en-US"/>
        </w:rPr>
      </w:pPr>
    </w:p>
    <w:p w:rsidR="006E5829" w:rsidRPr="000F0C4F" w:rsidRDefault="006E5829" w:rsidP="0087231C">
      <w:pPr>
        <w:pStyle w:val="ListParagraph"/>
        <w:numPr>
          <w:ilvl w:val="0"/>
          <w:numId w:val="9"/>
        </w:numPr>
        <w:autoSpaceDE w:val="0"/>
        <w:autoSpaceDN w:val="0"/>
        <w:adjustRightInd w:val="0"/>
        <w:spacing w:after="240"/>
        <w:jc w:val="both"/>
        <w:rPr>
          <w:i/>
          <w:iCs/>
          <w:color w:val="000000"/>
        </w:rPr>
      </w:pPr>
      <w:r w:rsidRPr="000F0C4F">
        <w:rPr>
          <w:lang w:val="en-US"/>
        </w:rPr>
        <w:t>Section 28 of the Local government Act 2003 imposes a statutory duty on a billing or major precepting authority to monitor, during the financial year, its income and expenditure against budget calculations.</w:t>
      </w:r>
    </w:p>
    <w:p w:rsidR="006E5829" w:rsidRDefault="006E5829" w:rsidP="00C767C6">
      <w:pPr>
        <w:jc w:val="both"/>
        <w:rPr>
          <w:b/>
          <w:bCs/>
        </w:rPr>
      </w:pPr>
      <w:r>
        <w:rPr>
          <w:b/>
          <w:bCs/>
        </w:rPr>
        <w:t>FINANCIAL IMPLICATIONS</w:t>
      </w:r>
    </w:p>
    <w:p w:rsidR="006E5829" w:rsidRPr="000F0C4F" w:rsidRDefault="006E5829" w:rsidP="0087231C">
      <w:pPr>
        <w:pStyle w:val="ListParagraph"/>
        <w:numPr>
          <w:ilvl w:val="0"/>
          <w:numId w:val="9"/>
        </w:numPr>
        <w:jc w:val="both"/>
      </w:pPr>
      <w:r w:rsidRPr="000F0C4F">
        <w:t>Financial matters are integral to the report.</w:t>
      </w:r>
    </w:p>
    <w:p w:rsidR="006E5829" w:rsidRDefault="006E5829" w:rsidP="00C767C6">
      <w:pPr>
        <w:autoSpaceDE w:val="0"/>
        <w:autoSpaceDN w:val="0"/>
        <w:adjustRightInd w:val="0"/>
        <w:jc w:val="both"/>
        <w:rPr>
          <w:rFonts w:ascii="Tahoma" w:hAnsi="Tahoma" w:cs="Tahoma"/>
          <w:color w:val="FF0000"/>
          <w:sz w:val="16"/>
          <w:szCs w:val="16"/>
        </w:rPr>
      </w:pPr>
    </w:p>
    <w:p w:rsidR="006E5829" w:rsidRDefault="006E5829" w:rsidP="00C767C6">
      <w:pPr>
        <w:jc w:val="both"/>
        <w:rPr>
          <w:b/>
          <w:bCs/>
        </w:rPr>
      </w:pPr>
      <w:r>
        <w:rPr>
          <w:b/>
          <w:bCs/>
        </w:rPr>
        <w:t>PERFORMANCE</w:t>
      </w:r>
    </w:p>
    <w:p w:rsidR="006E5829" w:rsidRPr="000F0C4F" w:rsidRDefault="006E5829" w:rsidP="0087231C">
      <w:pPr>
        <w:pStyle w:val="ListParagraph"/>
        <w:numPr>
          <w:ilvl w:val="0"/>
          <w:numId w:val="9"/>
        </w:numPr>
        <w:autoSpaceDE w:val="0"/>
        <w:autoSpaceDN w:val="0"/>
        <w:adjustRightInd w:val="0"/>
        <w:jc w:val="both"/>
        <w:rPr>
          <w:lang w:val="en-US"/>
        </w:rPr>
      </w:pPr>
      <w:r w:rsidRPr="000F0C4F">
        <w:t xml:space="preserve">Good financial monitoring is essential to </w:t>
      </w:r>
      <w:r w:rsidRPr="000F0C4F">
        <w:rPr>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maximised.</w:t>
      </w:r>
    </w:p>
    <w:p w:rsidR="006E5829" w:rsidRDefault="006E5829" w:rsidP="00C767C6">
      <w:pPr>
        <w:autoSpaceDE w:val="0"/>
        <w:autoSpaceDN w:val="0"/>
        <w:adjustRightInd w:val="0"/>
        <w:ind w:left="360"/>
        <w:jc w:val="both"/>
        <w:rPr>
          <w:lang w:val="en-US"/>
        </w:rPr>
      </w:pPr>
    </w:p>
    <w:p w:rsidR="006E5829" w:rsidRPr="000F0C4F" w:rsidRDefault="006E5829" w:rsidP="0087231C">
      <w:pPr>
        <w:pStyle w:val="ListParagraph"/>
        <w:numPr>
          <w:ilvl w:val="0"/>
          <w:numId w:val="9"/>
        </w:numPr>
        <w:jc w:val="both"/>
      </w:pPr>
      <w:r w:rsidRPr="000F0C4F">
        <w:t>Financial performance is considered quarterly at Cabinet.</w:t>
      </w:r>
    </w:p>
    <w:p w:rsidR="006E5829" w:rsidRDefault="006E5829" w:rsidP="00C767C6">
      <w:pPr>
        <w:pStyle w:val="Heading2"/>
        <w:jc w:val="both"/>
        <w:rPr>
          <w:sz w:val="24"/>
          <w:szCs w:val="24"/>
          <w:highlight w:val="green"/>
        </w:rPr>
      </w:pPr>
    </w:p>
    <w:p w:rsidR="006E5829" w:rsidRDefault="006E5829" w:rsidP="00C767C6">
      <w:pPr>
        <w:tabs>
          <w:tab w:val="left" w:pos="374"/>
        </w:tabs>
        <w:jc w:val="both"/>
        <w:rPr>
          <w:b/>
          <w:bCs/>
        </w:rPr>
      </w:pPr>
      <w:r w:rsidRPr="000C2294">
        <w:rPr>
          <w:b/>
          <w:bCs/>
        </w:rPr>
        <w:t>R</w:t>
      </w:r>
      <w:r>
        <w:rPr>
          <w:b/>
          <w:bCs/>
        </w:rPr>
        <w:t>ISK MANAGEMENT IMPLICATIONS</w:t>
      </w:r>
    </w:p>
    <w:p w:rsidR="006E5829" w:rsidRPr="000F0C4F" w:rsidRDefault="006E5829" w:rsidP="0087231C">
      <w:pPr>
        <w:pStyle w:val="ListParagraph"/>
        <w:numPr>
          <w:ilvl w:val="0"/>
          <w:numId w:val="9"/>
        </w:numPr>
        <w:jc w:val="both"/>
      </w:pPr>
      <w:r w:rsidRPr="000F0C4F">
        <w:t xml:space="preserve">The risks to the council and how they are being managed are clearly set out in the report: </w:t>
      </w:r>
    </w:p>
    <w:p w:rsidR="006E5829" w:rsidRDefault="006E5829" w:rsidP="00592C5A">
      <w:pPr>
        <w:pStyle w:val="infotext0"/>
        <w:spacing w:before="0" w:beforeAutospacing="0" w:after="0" w:afterAutospacing="0"/>
        <w:ind w:left="567"/>
        <w:jc w:val="both"/>
      </w:pPr>
      <w:r>
        <w:t>Risks included on Directorate risk registers? Yes</w:t>
      </w:r>
    </w:p>
    <w:p w:rsidR="006E5829" w:rsidRDefault="006E5829" w:rsidP="00C767C6">
      <w:pPr>
        <w:jc w:val="both"/>
        <w:rPr>
          <w:b/>
          <w:bCs/>
        </w:rPr>
      </w:pPr>
    </w:p>
    <w:p w:rsidR="006E5829" w:rsidRDefault="006E5829" w:rsidP="001E591D">
      <w:pPr>
        <w:jc w:val="both"/>
        <w:rPr>
          <w:b/>
          <w:bCs/>
        </w:rPr>
      </w:pPr>
      <w:r w:rsidRPr="000C2294">
        <w:rPr>
          <w:b/>
          <w:bCs/>
        </w:rPr>
        <w:t>E</w:t>
      </w:r>
      <w:r>
        <w:rPr>
          <w:b/>
          <w:bCs/>
        </w:rPr>
        <w:t>QUALITIES IMPLICATIONS</w:t>
      </w:r>
    </w:p>
    <w:p w:rsidR="006E5829" w:rsidRPr="000F0C4F" w:rsidRDefault="006E5829" w:rsidP="0087231C">
      <w:pPr>
        <w:pStyle w:val="ListParagraph"/>
        <w:numPr>
          <w:ilvl w:val="0"/>
          <w:numId w:val="9"/>
        </w:numPr>
        <w:jc w:val="both"/>
      </w:pPr>
      <w:r w:rsidRPr="000F0C4F">
        <w:t xml:space="preserve">There are no direct equalities impacts arising from the decisions within this report. </w:t>
      </w:r>
    </w:p>
    <w:p w:rsidR="006E5829" w:rsidRDefault="006E5829" w:rsidP="00C767C6">
      <w:pPr>
        <w:pStyle w:val="Style12ptJustified"/>
        <w:jc w:val="both"/>
      </w:pPr>
    </w:p>
    <w:p w:rsidR="006E5829" w:rsidRPr="00D44ECE" w:rsidRDefault="006E5829" w:rsidP="00C767C6">
      <w:pPr>
        <w:pStyle w:val="Style12ptJustified"/>
        <w:jc w:val="both"/>
        <w:rPr>
          <w:b/>
          <w:bCs/>
        </w:rPr>
      </w:pPr>
      <w:r w:rsidRPr="000C2294">
        <w:rPr>
          <w:b/>
          <w:bCs/>
        </w:rPr>
        <w:t>C</w:t>
      </w:r>
      <w:r>
        <w:rPr>
          <w:b/>
          <w:bCs/>
        </w:rPr>
        <w:t>ORPORATE PRIORITIES</w:t>
      </w:r>
    </w:p>
    <w:p w:rsidR="006E5829" w:rsidRDefault="006E5829" w:rsidP="009870D0">
      <w:r>
        <w:t>The Council’s vision is:</w:t>
      </w:r>
    </w:p>
    <w:p w:rsidR="006E5829" w:rsidRDefault="006E5829" w:rsidP="009870D0">
      <w:pPr>
        <w:rPr>
          <w:b/>
          <w:bCs/>
        </w:rPr>
      </w:pPr>
      <w:r>
        <w:tab/>
      </w:r>
      <w:r>
        <w:rPr>
          <w:b/>
          <w:bCs/>
        </w:rPr>
        <w:t>Working Together to Make a Difference for Harrow</w:t>
      </w:r>
    </w:p>
    <w:p w:rsidR="006E5829" w:rsidRDefault="006E5829" w:rsidP="009870D0">
      <w:pPr>
        <w:rPr>
          <w:b/>
          <w:bCs/>
        </w:rPr>
      </w:pPr>
    </w:p>
    <w:p w:rsidR="006E5829" w:rsidRDefault="006E5829" w:rsidP="009870D0">
      <w:r>
        <w:t>The administrations priorities are:</w:t>
      </w:r>
    </w:p>
    <w:p w:rsidR="006E5829" w:rsidRDefault="006E5829" w:rsidP="009870D0">
      <w:r>
        <w:tab/>
        <w:t>Making a difference for the vulnerable</w:t>
      </w:r>
    </w:p>
    <w:p w:rsidR="006E5829" w:rsidRDefault="006E5829" w:rsidP="009870D0">
      <w:r>
        <w:tab/>
        <w:t>Making a difference for communities</w:t>
      </w:r>
    </w:p>
    <w:p w:rsidR="006E5829" w:rsidRDefault="006E5829" w:rsidP="009870D0">
      <w:r>
        <w:tab/>
        <w:t>Making a difference for local businesses</w:t>
      </w:r>
    </w:p>
    <w:p w:rsidR="006E5829" w:rsidRDefault="006E5829" w:rsidP="009870D0">
      <w:r>
        <w:tab/>
        <w:t>Making a difference for families</w:t>
      </w:r>
    </w:p>
    <w:p w:rsidR="006E5829" w:rsidRDefault="006E5829" w:rsidP="009870D0"/>
    <w:p w:rsidR="006E5829" w:rsidRDefault="006E5829" w:rsidP="009870D0">
      <w:r>
        <w:t>The robust stewardship of funds to ensure expenditure is contained w</w:t>
      </w:r>
    </w:p>
    <w:p w:rsidR="006E5829" w:rsidRPr="002F3901" w:rsidRDefault="006E5829" w:rsidP="009870D0"/>
    <w:p w:rsidR="006E5829" w:rsidRDefault="006E5829">
      <w:pPr>
        <w:rPr>
          <w:rFonts w:ascii="Arial Black" w:hAnsi="Arial Black" w:cs="Arial Black"/>
          <w:b/>
          <w:bCs/>
          <w:sz w:val="32"/>
          <w:szCs w:val="32"/>
        </w:rPr>
      </w:pPr>
      <w:r>
        <w:rPr>
          <w:rFonts w:ascii="Arial Black" w:hAnsi="Arial Black" w:cs="Arial Black"/>
          <w:b/>
          <w:bCs/>
          <w:sz w:val="32"/>
          <w:szCs w:val="32"/>
        </w:rPr>
        <w:br w:type="page"/>
      </w:r>
    </w:p>
    <w:p w:rsidR="006E5829" w:rsidRDefault="006E5829">
      <w:pPr>
        <w:rPr>
          <w:rFonts w:ascii="Arial Black" w:hAnsi="Arial Black" w:cs="Arial Black"/>
          <w:b/>
          <w:bCs/>
          <w:sz w:val="32"/>
          <w:szCs w:val="32"/>
        </w:rPr>
      </w:pPr>
      <w:r w:rsidRPr="00162E61">
        <w:rPr>
          <w:rFonts w:ascii="Arial Black" w:hAnsi="Arial Black" w:cs="Arial Black"/>
          <w:b/>
          <w:bCs/>
          <w:sz w:val="32"/>
          <w:szCs w:val="32"/>
        </w:rPr>
        <w:t>Section 3 - Statutory Officer Clearance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384"/>
        <w:gridCol w:w="236"/>
        <w:gridCol w:w="3655"/>
      </w:tblGrid>
      <w:tr w:rsidR="006E5829">
        <w:tc>
          <w:tcPr>
            <w:tcW w:w="4752" w:type="dxa"/>
            <w:tcBorders>
              <w:bottom w:val="nil"/>
              <w:right w:val="nil"/>
            </w:tcBorders>
          </w:tcPr>
          <w:p w:rsidR="006E5829" w:rsidRDefault="006E5829" w:rsidP="001C42CC">
            <w:pPr>
              <w:pStyle w:val="Infotext"/>
            </w:pPr>
          </w:p>
          <w:p w:rsidR="006E5829" w:rsidRDefault="006E5829" w:rsidP="001C42CC">
            <w:pPr>
              <w:pStyle w:val="Infotext"/>
            </w:pPr>
          </w:p>
        </w:tc>
        <w:tc>
          <w:tcPr>
            <w:tcW w:w="387" w:type="dxa"/>
            <w:tcBorders>
              <w:left w:val="nil"/>
              <w:right w:val="nil"/>
            </w:tcBorders>
          </w:tcPr>
          <w:p w:rsidR="006E5829" w:rsidRDefault="006E5829" w:rsidP="001C42CC">
            <w:pPr>
              <w:pStyle w:val="Infotext"/>
            </w:pPr>
          </w:p>
        </w:tc>
        <w:tc>
          <w:tcPr>
            <w:tcW w:w="236" w:type="dxa"/>
            <w:tcBorders>
              <w:left w:val="nil"/>
              <w:bottom w:val="nil"/>
              <w:right w:val="nil"/>
            </w:tcBorders>
          </w:tcPr>
          <w:p w:rsidR="006E5829" w:rsidRDefault="006E5829" w:rsidP="001C42CC">
            <w:pPr>
              <w:pStyle w:val="Infotext"/>
            </w:pPr>
          </w:p>
        </w:tc>
        <w:tc>
          <w:tcPr>
            <w:tcW w:w="3890" w:type="dxa"/>
            <w:tcBorders>
              <w:left w:val="nil"/>
              <w:bottom w:val="nil"/>
            </w:tcBorders>
          </w:tcPr>
          <w:p w:rsidR="006E5829" w:rsidRDefault="006E5829" w:rsidP="001C42CC">
            <w:pPr>
              <w:pStyle w:val="Infotext"/>
            </w:pPr>
          </w:p>
          <w:p w:rsidR="006E5829" w:rsidRDefault="006E5829" w:rsidP="001C42CC">
            <w:pPr>
              <w:pStyle w:val="Infotext"/>
            </w:pPr>
            <w:r>
              <w:t xml:space="preserve">Interim </w:t>
            </w:r>
          </w:p>
        </w:tc>
      </w:tr>
      <w:tr w:rsidR="006E5829">
        <w:tc>
          <w:tcPr>
            <w:tcW w:w="4752" w:type="dxa"/>
            <w:tcBorders>
              <w:top w:val="nil"/>
              <w:bottom w:val="nil"/>
            </w:tcBorders>
          </w:tcPr>
          <w:p w:rsidR="006E5829" w:rsidRDefault="006E5829" w:rsidP="001C42CC">
            <w:pPr>
              <w:pStyle w:val="Infotext"/>
            </w:pPr>
            <w:r>
              <w:t>Name: Dawn Calvert</w:t>
            </w:r>
          </w:p>
        </w:tc>
        <w:tc>
          <w:tcPr>
            <w:tcW w:w="387" w:type="dxa"/>
          </w:tcPr>
          <w:p w:rsidR="006E5829" w:rsidRDefault="006E5829" w:rsidP="001C42CC">
            <w:pPr>
              <w:pStyle w:val="Infotext"/>
            </w:pPr>
            <w:r>
              <w:t>x</w:t>
            </w:r>
          </w:p>
        </w:tc>
        <w:tc>
          <w:tcPr>
            <w:tcW w:w="236" w:type="dxa"/>
            <w:tcBorders>
              <w:top w:val="nil"/>
              <w:bottom w:val="nil"/>
              <w:right w:val="nil"/>
            </w:tcBorders>
          </w:tcPr>
          <w:p w:rsidR="006E5829" w:rsidRDefault="006E5829" w:rsidP="001C42CC">
            <w:pPr>
              <w:pStyle w:val="Infotext"/>
            </w:pPr>
          </w:p>
        </w:tc>
        <w:tc>
          <w:tcPr>
            <w:tcW w:w="3890" w:type="dxa"/>
            <w:tcBorders>
              <w:top w:val="nil"/>
              <w:left w:val="nil"/>
              <w:bottom w:val="nil"/>
            </w:tcBorders>
          </w:tcPr>
          <w:p w:rsidR="006E5829" w:rsidRDefault="006E5829" w:rsidP="001C42CC">
            <w:pPr>
              <w:pStyle w:val="Infotext"/>
            </w:pPr>
            <w:r>
              <w:t>Chief Financial Officer</w:t>
            </w:r>
          </w:p>
        </w:tc>
      </w:tr>
      <w:tr w:rsidR="006E5829">
        <w:tc>
          <w:tcPr>
            <w:tcW w:w="4752" w:type="dxa"/>
            <w:tcBorders>
              <w:top w:val="nil"/>
              <w:right w:val="nil"/>
            </w:tcBorders>
          </w:tcPr>
          <w:p w:rsidR="006E5829" w:rsidRDefault="006E5829" w:rsidP="001C42CC">
            <w:pPr>
              <w:pStyle w:val="Infotext"/>
            </w:pPr>
          </w:p>
          <w:p w:rsidR="006E5829" w:rsidRDefault="006E5829" w:rsidP="001C42CC">
            <w:pPr>
              <w:pStyle w:val="Infotext"/>
            </w:pPr>
            <w:r>
              <w:t>Date: 4 June 2015</w:t>
            </w:r>
          </w:p>
        </w:tc>
        <w:tc>
          <w:tcPr>
            <w:tcW w:w="387" w:type="dxa"/>
            <w:tcBorders>
              <w:left w:val="nil"/>
              <w:right w:val="nil"/>
            </w:tcBorders>
          </w:tcPr>
          <w:p w:rsidR="006E5829" w:rsidRDefault="006E5829" w:rsidP="001C42CC">
            <w:pPr>
              <w:pStyle w:val="Infotext"/>
            </w:pPr>
          </w:p>
        </w:tc>
        <w:tc>
          <w:tcPr>
            <w:tcW w:w="236" w:type="dxa"/>
            <w:tcBorders>
              <w:top w:val="nil"/>
              <w:left w:val="nil"/>
              <w:right w:val="nil"/>
            </w:tcBorders>
          </w:tcPr>
          <w:p w:rsidR="006E5829" w:rsidRDefault="006E5829" w:rsidP="001C42CC">
            <w:pPr>
              <w:pStyle w:val="Infotext"/>
            </w:pPr>
          </w:p>
        </w:tc>
        <w:tc>
          <w:tcPr>
            <w:tcW w:w="3890" w:type="dxa"/>
            <w:tcBorders>
              <w:top w:val="nil"/>
              <w:left w:val="nil"/>
            </w:tcBorders>
          </w:tcPr>
          <w:p w:rsidR="006E5829" w:rsidRDefault="006E5829" w:rsidP="001C42CC">
            <w:pPr>
              <w:pStyle w:val="Infotext"/>
            </w:pPr>
          </w:p>
        </w:tc>
      </w:tr>
      <w:tr w:rsidR="006E5829">
        <w:tc>
          <w:tcPr>
            <w:tcW w:w="4752" w:type="dxa"/>
            <w:tcBorders>
              <w:bottom w:val="nil"/>
              <w:right w:val="nil"/>
            </w:tcBorders>
          </w:tcPr>
          <w:p w:rsidR="006E5829" w:rsidRDefault="006E5829" w:rsidP="001C42CC">
            <w:pPr>
              <w:pStyle w:val="Infotext"/>
            </w:pPr>
          </w:p>
          <w:p w:rsidR="006E5829" w:rsidRDefault="006E5829" w:rsidP="001C42CC">
            <w:pPr>
              <w:pStyle w:val="Infotext"/>
            </w:pPr>
          </w:p>
        </w:tc>
        <w:tc>
          <w:tcPr>
            <w:tcW w:w="387" w:type="dxa"/>
            <w:tcBorders>
              <w:left w:val="nil"/>
              <w:right w:val="nil"/>
            </w:tcBorders>
          </w:tcPr>
          <w:p w:rsidR="006E5829" w:rsidRDefault="006E5829" w:rsidP="001C42CC">
            <w:pPr>
              <w:pStyle w:val="Infotext"/>
            </w:pPr>
          </w:p>
        </w:tc>
        <w:tc>
          <w:tcPr>
            <w:tcW w:w="236" w:type="dxa"/>
            <w:tcBorders>
              <w:left w:val="nil"/>
              <w:bottom w:val="nil"/>
              <w:right w:val="nil"/>
            </w:tcBorders>
          </w:tcPr>
          <w:p w:rsidR="006E5829" w:rsidRDefault="006E5829" w:rsidP="001C42CC">
            <w:pPr>
              <w:pStyle w:val="Infotext"/>
            </w:pPr>
          </w:p>
        </w:tc>
        <w:tc>
          <w:tcPr>
            <w:tcW w:w="3890" w:type="dxa"/>
            <w:tcBorders>
              <w:left w:val="nil"/>
              <w:bottom w:val="nil"/>
            </w:tcBorders>
          </w:tcPr>
          <w:p w:rsidR="006E5829" w:rsidRDefault="006E5829" w:rsidP="001C42CC">
            <w:pPr>
              <w:pStyle w:val="Infotext"/>
            </w:pPr>
          </w:p>
          <w:p w:rsidR="006E5829" w:rsidRDefault="006E5829" w:rsidP="001C42CC">
            <w:pPr>
              <w:pStyle w:val="Infotext"/>
            </w:pPr>
            <w:r>
              <w:t xml:space="preserve">on behalf of the </w:t>
            </w:r>
          </w:p>
        </w:tc>
      </w:tr>
      <w:tr w:rsidR="006E5829">
        <w:tc>
          <w:tcPr>
            <w:tcW w:w="4752" w:type="dxa"/>
            <w:tcBorders>
              <w:top w:val="nil"/>
              <w:bottom w:val="nil"/>
            </w:tcBorders>
          </w:tcPr>
          <w:p w:rsidR="006E5829" w:rsidRDefault="006E5829" w:rsidP="001C42CC">
            <w:pPr>
              <w:pStyle w:val="Infotext"/>
            </w:pPr>
            <w:r>
              <w:t>Name: Jessica Farmer</w:t>
            </w:r>
          </w:p>
        </w:tc>
        <w:tc>
          <w:tcPr>
            <w:tcW w:w="387" w:type="dxa"/>
          </w:tcPr>
          <w:p w:rsidR="006E5829" w:rsidRDefault="006E5829" w:rsidP="001C42CC">
            <w:pPr>
              <w:pStyle w:val="Infotext"/>
            </w:pPr>
            <w:r>
              <w:t>x</w:t>
            </w:r>
          </w:p>
        </w:tc>
        <w:tc>
          <w:tcPr>
            <w:tcW w:w="236" w:type="dxa"/>
            <w:tcBorders>
              <w:top w:val="nil"/>
              <w:bottom w:val="nil"/>
              <w:right w:val="nil"/>
            </w:tcBorders>
          </w:tcPr>
          <w:p w:rsidR="006E5829" w:rsidRDefault="006E5829" w:rsidP="001C42CC">
            <w:pPr>
              <w:pStyle w:val="Infotext"/>
            </w:pPr>
          </w:p>
        </w:tc>
        <w:tc>
          <w:tcPr>
            <w:tcW w:w="3890" w:type="dxa"/>
            <w:tcBorders>
              <w:top w:val="nil"/>
              <w:left w:val="nil"/>
              <w:bottom w:val="nil"/>
            </w:tcBorders>
          </w:tcPr>
          <w:p w:rsidR="006E5829" w:rsidRDefault="006E5829" w:rsidP="001C42CC">
            <w:pPr>
              <w:pStyle w:val="Infotext"/>
            </w:pPr>
            <w:r>
              <w:t>Monitoring Officer</w:t>
            </w:r>
          </w:p>
        </w:tc>
      </w:tr>
      <w:tr w:rsidR="006E5829">
        <w:tc>
          <w:tcPr>
            <w:tcW w:w="4752" w:type="dxa"/>
            <w:tcBorders>
              <w:top w:val="nil"/>
              <w:right w:val="nil"/>
            </w:tcBorders>
          </w:tcPr>
          <w:p w:rsidR="006E5829" w:rsidRDefault="006E5829" w:rsidP="001C42CC">
            <w:pPr>
              <w:pStyle w:val="Infotext"/>
            </w:pPr>
          </w:p>
          <w:p w:rsidR="006E5829" w:rsidRDefault="006E5829" w:rsidP="001C42CC">
            <w:pPr>
              <w:pStyle w:val="Infotext"/>
            </w:pPr>
            <w:r>
              <w:t>Date: 5 June 2015</w:t>
            </w:r>
          </w:p>
        </w:tc>
        <w:tc>
          <w:tcPr>
            <w:tcW w:w="387" w:type="dxa"/>
            <w:tcBorders>
              <w:left w:val="nil"/>
              <w:right w:val="nil"/>
            </w:tcBorders>
          </w:tcPr>
          <w:p w:rsidR="006E5829" w:rsidRDefault="006E5829" w:rsidP="001C42CC">
            <w:pPr>
              <w:pStyle w:val="Infotext"/>
            </w:pPr>
          </w:p>
        </w:tc>
        <w:tc>
          <w:tcPr>
            <w:tcW w:w="236" w:type="dxa"/>
            <w:tcBorders>
              <w:top w:val="nil"/>
              <w:left w:val="nil"/>
              <w:right w:val="nil"/>
            </w:tcBorders>
          </w:tcPr>
          <w:p w:rsidR="006E5829" w:rsidRDefault="006E5829" w:rsidP="001C42CC">
            <w:pPr>
              <w:pStyle w:val="Infotext"/>
            </w:pPr>
          </w:p>
        </w:tc>
        <w:tc>
          <w:tcPr>
            <w:tcW w:w="3890" w:type="dxa"/>
            <w:tcBorders>
              <w:top w:val="nil"/>
              <w:left w:val="nil"/>
            </w:tcBorders>
          </w:tcPr>
          <w:p w:rsidR="006E5829" w:rsidRDefault="006E5829" w:rsidP="001C42CC">
            <w:pPr>
              <w:pStyle w:val="Infotext"/>
            </w:pPr>
          </w:p>
          <w:p w:rsidR="006E5829" w:rsidRDefault="006E5829" w:rsidP="001C42CC">
            <w:pPr>
              <w:pStyle w:val="Infotext"/>
            </w:pPr>
          </w:p>
        </w:tc>
      </w:tr>
    </w:tbl>
    <w:p w:rsidR="006E5829" w:rsidRDefault="006E5829">
      <w:pPr>
        <w:rPr>
          <w:rFonts w:ascii="Arial Black" w:hAnsi="Arial Black" w:cs="Arial Black"/>
          <w:b/>
          <w:bCs/>
        </w:rPr>
      </w:pPr>
    </w:p>
    <w:p w:rsidR="006E5829" w:rsidRDefault="006E5829" w:rsidP="00B40C72">
      <w:pPr>
        <w:pStyle w:val="Heading1"/>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3424"/>
      </w:tblGrid>
      <w:tr w:rsidR="006E5829">
        <w:trPr>
          <w:trHeight w:val="965"/>
        </w:trPr>
        <w:tc>
          <w:tcPr>
            <w:tcW w:w="3025" w:type="pct"/>
            <w:tcBorders>
              <w:right w:val="nil"/>
            </w:tcBorders>
          </w:tcPr>
          <w:p w:rsidR="006E5829" w:rsidRDefault="006E5829" w:rsidP="0048119F">
            <w:pPr>
              <w:pStyle w:val="Infotext"/>
              <w:rPr>
                <w:rFonts w:ascii="Arial Black" w:hAnsi="Arial Black" w:cs="Arial Black"/>
              </w:rPr>
            </w:pPr>
          </w:p>
          <w:p w:rsidR="006E5829" w:rsidRDefault="006E5829" w:rsidP="0048119F">
            <w:pPr>
              <w:pStyle w:val="Infotext"/>
              <w:rPr>
                <w:rFonts w:ascii="Arial Black" w:hAnsi="Arial Black" w:cs="Arial Black"/>
              </w:rPr>
            </w:pPr>
            <w:r>
              <w:rPr>
                <w:rFonts w:ascii="Arial Black" w:hAnsi="Arial Black" w:cs="Arial Black"/>
              </w:rPr>
              <w:t>Ward Councillors notified:</w:t>
            </w:r>
          </w:p>
          <w:p w:rsidR="006E5829" w:rsidRDefault="006E5829" w:rsidP="0048119F">
            <w:pPr>
              <w:pStyle w:val="Infotext"/>
            </w:pPr>
          </w:p>
        </w:tc>
        <w:tc>
          <w:tcPr>
            <w:tcW w:w="1975" w:type="pct"/>
            <w:tcBorders>
              <w:left w:val="nil"/>
            </w:tcBorders>
          </w:tcPr>
          <w:p w:rsidR="006E5829" w:rsidRPr="001A0668" w:rsidRDefault="006E5829" w:rsidP="0048119F">
            <w:pPr>
              <w:pStyle w:val="Infotext"/>
              <w:rPr>
                <w:b/>
                <w:bCs/>
              </w:rPr>
            </w:pPr>
          </w:p>
          <w:p w:rsidR="006E5829" w:rsidRPr="001A0668" w:rsidRDefault="006E5829" w:rsidP="0048119F">
            <w:pPr>
              <w:pStyle w:val="Infotext"/>
              <w:spacing w:before="120"/>
              <w:rPr>
                <w:b/>
                <w:bCs/>
                <w:sz w:val="24"/>
                <w:szCs w:val="24"/>
              </w:rPr>
            </w:pPr>
            <w:r w:rsidRPr="001A0668">
              <w:rPr>
                <w:b/>
                <w:bCs/>
                <w:sz w:val="24"/>
                <w:szCs w:val="24"/>
              </w:rPr>
              <w:t xml:space="preserve">NO </w:t>
            </w:r>
          </w:p>
          <w:p w:rsidR="006E5829" w:rsidRPr="001A0668" w:rsidRDefault="006E5829" w:rsidP="0048119F">
            <w:pPr>
              <w:pStyle w:val="Infotext"/>
              <w:rPr>
                <w:b/>
                <w:bCs/>
                <w:i/>
                <w:iCs/>
                <w:sz w:val="24"/>
                <w:szCs w:val="24"/>
              </w:rPr>
            </w:pPr>
          </w:p>
          <w:p w:rsidR="006E5829" w:rsidRPr="001A0668" w:rsidRDefault="006E5829" w:rsidP="0048119F">
            <w:pPr>
              <w:pStyle w:val="Infotext"/>
              <w:ind w:left="173"/>
              <w:rPr>
                <w:b/>
                <w:bCs/>
                <w:i/>
                <w:iCs/>
                <w:sz w:val="24"/>
                <w:szCs w:val="24"/>
              </w:rPr>
            </w:pPr>
          </w:p>
        </w:tc>
      </w:tr>
      <w:tr w:rsidR="006E5829" w:rsidRPr="00303FD6">
        <w:trPr>
          <w:trHeight w:val="965"/>
        </w:trPr>
        <w:tc>
          <w:tcPr>
            <w:tcW w:w="3025" w:type="pct"/>
            <w:tcBorders>
              <w:right w:val="nil"/>
            </w:tcBorders>
          </w:tcPr>
          <w:p w:rsidR="006E5829" w:rsidRPr="00AC7BFC" w:rsidRDefault="006E5829" w:rsidP="00AC7BFC">
            <w:pPr>
              <w:pStyle w:val="Infotext"/>
              <w:rPr>
                <w:rFonts w:ascii="Arial Black" w:hAnsi="Arial Black" w:cs="Arial Black"/>
              </w:rPr>
            </w:pPr>
          </w:p>
          <w:p w:rsidR="006E5829" w:rsidRPr="00202D79" w:rsidRDefault="006E5829" w:rsidP="00AC7BFC">
            <w:pPr>
              <w:pStyle w:val="Infotext"/>
              <w:rPr>
                <w:rFonts w:ascii="Arial Black" w:hAnsi="Arial Black" w:cs="Arial Black"/>
              </w:rPr>
            </w:pPr>
            <w:r w:rsidRPr="00202D79">
              <w:rPr>
                <w:rFonts w:ascii="Arial Black" w:hAnsi="Arial Black" w:cs="Arial Black"/>
              </w:rPr>
              <w:t>EqIA carried out:</w:t>
            </w:r>
          </w:p>
          <w:p w:rsidR="006E5829" w:rsidRPr="00202D79" w:rsidRDefault="006E5829" w:rsidP="00AC7BFC">
            <w:pPr>
              <w:pStyle w:val="Infotext"/>
              <w:rPr>
                <w:rFonts w:ascii="Arial Black" w:hAnsi="Arial Black" w:cs="Arial Black"/>
              </w:rPr>
            </w:pPr>
          </w:p>
          <w:p w:rsidR="006E5829" w:rsidRPr="00AC7BFC" w:rsidRDefault="006E5829" w:rsidP="00AC7BFC">
            <w:pPr>
              <w:pStyle w:val="Infotext"/>
              <w:rPr>
                <w:rFonts w:ascii="Arial Black" w:hAnsi="Arial Black" w:cs="Arial Black"/>
              </w:rPr>
            </w:pPr>
            <w:r w:rsidRPr="00202D79">
              <w:rPr>
                <w:rFonts w:ascii="Arial Black" w:hAnsi="Arial Black" w:cs="Arial Black"/>
              </w:rPr>
              <w:t>EqIA cleared by:</w:t>
            </w:r>
          </w:p>
        </w:tc>
        <w:tc>
          <w:tcPr>
            <w:tcW w:w="1975" w:type="pct"/>
            <w:tcBorders>
              <w:left w:val="nil"/>
            </w:tcBorders>
          </w:tcPr>
          <w:p w:rsidR="006E5829" w:rsidRPr="001A0668" w:rsidRDefault="006E5829" w:rsidP="00AC7BFC">
            <w:pPr>
              <w:pStyle w:val="Infotext"/>
              <w:rPr>
                <w:b/>
                <w:bCs/>
              </w:rPr>
            </w:pPr>
          </w:p>
          <w:p w:rsidR="006E5829" w:rsidRPr="001A0668" w:rsidRDefault="006E5829" w:rsidP="00AC7BFC">
            <w:pPr>
              <w:pStyle w:val="Infotext"/>
              <w:rPr>
                <w:b/>
                <w:bCs/>
                <w:sz w:val="24"/>
                <w:szCs w:val="24"/>
              </w:rPr>
            </w:pPr>
            <w:r w:rsidRPr="001A0668">
              <w:rPr>
                <w:b/>
                <w:bCs/>
                <w:sz w:val="24"/>
                <w:szCs w:val="24"/>
              </w:rPr>
              <w:t>NO</w:t>
            </w:r>
          </w:p>
          <w:p w:rsidR="006E5829" w:rsidRPr="001A0668" w:rsidRDefault="006E5829" w:rsidP="00AC7BFC">
            <w:pPr>
              <w:pStyle w:val="Infotext"/>
              <w:rPr>
                <w:b/>
                <w:bCs/>
              </w:rPr>
            </w:pPr>
          </w:p>
          <w:p w:rsidR="006E5829" w:rsidRPr="001A0668" w:rsidRDefault="006E5829" w:rsidP="00AC7BFC">
            <w:pPr>
              <w:pStyle w:val="Infotext"/>
              <w:rPr>
                <w:b/>
                <w:bCs/>
              </w:rPr>
            </w:pPr>
          </w:p>
          <w:p w:rsidR="006E5829" w:rsidRPr="001A0668" w:rsidRDefault="006E5829" w:rsidP="00AC7BFC">
            <w:pPr>
              <w:pStyle w:val="Infotext"/>
              <w:rPr>
                <w:b/>
                <w:bCs/>
                <w:sz w:val="24"/>
                <w:szCs w:val="24"/>
              </w:rPr>
            </w:pPr>
            <w:r w:rsidRPr="001A0668">
              <w:rPr>
                <w:b/>
                <w:bCs/>
                <w:sz w:val="24"/>
                <w:szCs w:val="24"/>
              </w:rPr>
              <w:t>N/A</w:t>
            </w:r>
          </w:p>
        </w:tc>
      </w:tr>
    </w:tbl>
    <w:p w:rsidR="006E5829" w:rsidRPr="000A55D4" w:rsidRDefault="006E5829" w:rsidP="000A55D4"/>
    <w:p w:rsidR="006E5829" w:rsidRDefault="006E5829" w:rsidP="00B40C72">
      <w:pPr>
        <w:pStyle w:val="Heading1"/>
      </w:pPr>
      <w:r>
        <w:t>Section 6 - Contact Details and Background Papers</w:t>
      </w:r>
    </w:p>
    <w:p w:rsidR="006E5829" w:rsidRDefault="006E5829"/>
    <w:p w:rsidR="006E5829" w:rsidRDefault="006E5829">
      <w:pPr>
        <w:pStyle w:val="Infotext"/>
        <w:tabs>
          <w:tab w:val="left" w:pos="1309"/>
          <w:tab w:val="left" w:pos="7106"/>
          <w:tab w:val="left" w:pos="8976"/>
        </w:tabs>
        <w:ind w:left="1309" w:right="257" w:hanging="1309"/>
        <w:rPr>
          <w:b/>
          <w:bCs/>
        </w:rPr>
      </w:pPr>
      <w:r>
        <w:rPr>
          <w:b/>
          <w:bCs/>
        </w:rPr>
        <w:t xml:space="preserve">Contact:  </w:t>
      </w:r>
      <w:r>
        <w:rPr>
          <w:sz w:val="24"/>
          <w:szCs w:val="24"/>
        </w:rPr>
        <w:t>Steve Tingle (steve.tingle@harrow.gov.uk)</w:t>
      </w:r>
    </w:p>
    <w:p w:rsidR="006E5829" w:rsidRDefault="006E5829">
      <w:pPr>
        <w:pStyle w:val="Infotext"/>
        <w:rPr>
          <w:b/>
          <w:bCs/>
        </w:rPr>
      </w:pPr>
      <w:r>
        <w:rPr>
          <w:b/>
          <w:bCs/>
        </w:rPr>
        <w:t xml:space="preserve">Background Papers: </w:t>
      </w:r>
    </w:p>
    <w:p w:rsidR="006E5829" w:rsidRDefault="006E5829" w:rsidP="003D76D5">
      <w:pPr>
        <w:pStyle w:val="Infotext"/>
        <w:rPr>
          <w:sz w:val="24"/>
          <w:szCs w:val="24"/>
        </w:rPr>
      </w:pPr>
      <w:hyperlink r:id="rId10" w:history="1">
        <w:r>
          <w:rPr>
            <w:rStyle w:val="Hyperlink"/>
          </w:rPr>
          <w:t>Cabinet reports 13 February 2014, Housing revenue Account Budget 2014-15 and Medium Term Financial Strategy 2015-16 to 2017-18, Final Revenue Budget 2014/15 and Medium Term Financial Strategy 2014-15 to 2016-17, Capital Programme 2014-15 to 2017-18</w:t>
        </w:r>
      </w:hyperlink>
    </w:p>
    <w:p w:rsidR="006E5829" w:rsidRDefault="006E5829" w:rsidP="003D76D5">
      <w:pPr>
        <w:pStyle w:val="Infotext"/>
        <w:rPr>
          <w:sz w:val="24"/>
          <w:szCs w:val="24"/>
        </w:rPr>
      </w:pPr>
    </w:p>
    <w:p w:rsidR="006E5829" w:rsidRDefault="006E5829">
      <w:pPr>
        <w:pStyle w:val="Infotext"/>
        <w:tabs>
          <w:tab w:val="left" w:pos="8976"/>
        </w:tabs>
        <w:ind w:right="257"/>
        <w:rPr>
          <w:color w:val="FF0000"/>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1"/>
        <w:gridCol w:w="557"/>
        <w:gridCol w:w="4281"/>
      </w:tblGrid>
      <w:tr w:rsidR="006E5829">
        <w:trPr>
          <w:trHeight w:val="965"/>
        </w:trPr>
        <w:tc>
          <w:tcPr>
            <w:tcW w:w="2210" w:type="pct"/>
            <w:tcBorders>
              <w:right w:val="nil"/>
            </w:tcBorders>
          </w:tcPr>
          <w:p w:rsidR="006E5829" w:rsidRDefault="006E5829">
            <w:pPr>
              <w:pStyle w:val="Infotext"/>
              <w:rPr>
                <w:rFonts w:ascii="Arial Black" w:hAnsi="Arial Black" w:cs="Arial Black"/>
              </w:rPr>
            </w:pPr>
          </w:p>
          <w:p w:rsidR="006E5829" w:rsidRDefault="006E5829">
            <w:pPr>
              <w:pStyle w:val="Infotext"/>
              <w:rPr>
                <w:rFonts w:ascii="Arial Black" w:hAnsi="Arial Black" w:cs="Arial Black"/>
              </w:rPr>
            </w:pPr>
            <w:r>
              <w:rPr>
                <w:rFonts w:ascii="Arial Black" w:hAnsi="Arial Black" w:cs="Arial Black"/>
              </w:rPr>
              <w:t>Call-In Waived by the Chairman of Overview and Scrutiny Committee</w:t>
            </w:r>
          </w:p>
          <w:p w:rsidR="006E5829" w:rsidRDefault="006E5829">
            <w:pPr>
              <w:pStyle w:val="Infotext"/>
            </w:pPr>
          </w:p>
        </w:tc>
        <w:tc>
          <w:tcPr>
            <w:tcW w:w="321" w:type="pct"/>
            <w:tcBorders>
              <w:left w:val="nil"/>
              <w:right w:val="nil"/>
            </w:tcBorders>
          </w:tcPr>
          <w:p w:rsidR="006E5829" w:rsidRDefault="006E5829">
            <w:pPr>
              <w:pStyle w:val="Infotext"/>
            </w:pPr>
          </w:p>
        </w:tc>
        <w:tc>
          <w:tcPr>
            <w:tcW w:w="2469" w:type="pct"/>
            <w:tcBorders>
              <w:left w:val="nil"/>
            </w:tcBorders>
          </w:tcPr>
          <w:p w:rsidR="006E5829" w:rsidRDefault="006E5829">
            <w:pPr>
              <w:pStyle w:val="Infotext"/>
              <w:rPr>
                <w:b/>
                <w:bCs/>
              </w:rPr>
            </w:pPr>
          </w:p>
          <w:p w:rsidR="006E5829" w:rsidRDefault="006E5829">
            <w:pPr>
              <w:pStyle w:val="Infotext"/>
            </w:pPr>
            <w:r>
              <w:rPr>
                <w:b/>
                <w:bCs/>
              </w:rPr>
              <w:t>NOT APPLICABLE</w:t>
            </w:r>
          </w:p>
          <w:p w:rsidR="006E5829" w:rsidRDefault="006E5829">
            <w:pPr>
              <w:pStyle w:val="Infotext"/>
            </w:pPr>
          </w:p>
          <w:p w:rsidR="006E5829" w:rsidRDefault="006E5829">
            <w:pPr>
              <w:pStyle w:val="Infotext"/>
              <w:rPr>
                <w:i/>
                <w:iCs/>
              </w:rPr>
            </w:pPr>
            <w:r>
              <w:rPr>
                <w:i/>
                <w:iCs/>
              </w:rPr>
              <w:t>[Call –in applies]</w:t>
            </w:r>
          </w:p>
          <w:p w:rsidR="006E5829" w:rsidRDefault="006E5829">
            <w:pPr>
              <w:pStyle w:val="Infotext"/>
              <w:rPr>
                <w:i/>
                <w:iCs/>
              </w:rPr>
            </w:pPr>
          </w:p>
          <w:p w:rsidR="006E5829" w:rsidRDefault="006E5829">
            <w:pPr>
              <w:pStyle w:val="Infotext"/>
              <w:rPr>
                <w:i/>
                <w:iCs/>
              </w:rPr>
            </w:pPr>
          </w:p>
          <w:p w:rsidR="006E5829" w:rsidRDefault="006E5829">
            <w:pPr>
              <w:pStyle w:val="Infotext"/>
              <w:rPr>
                <w:i/>
                <w:iCs/>
                <w:sz w:val="24"/>
                <w:szCs w:val="24"/>
              </w:rPr>
            </w:pPr>
          </w:p>
        </w:tc>
      </w:tr>
    </w:tbl>
    <w:p w:rsidR="006E5829" w:rsidRDefault="006E5829">
      <w:pPr>
        <w:rPr>
          <w:color w:val="FF0000"/>
        </w:rPr>
      </w:pPr>
    </w:p>
    <w:p w:rsidR="006E5829" w:rsidRDefault="006E5829">
      <w:pPr>
        <w:pStyle w:val="bullet4"/>
        <w:numPr>
          <w:ilvl w:val="0"/>
          <w:numId w:val="0"/>
        </w:numPr>
        <w:rPr>
          <w:color w:val="FF0000"/>
        </w:rPr>
      </w:pPr>
      <w:bookmarkStart w:id="0" w:name="_GoBack"/>
      <w:bookmarkEnd w:id="0"/>
    </w:p>
    <w:sectPr w:rsidR="006E5829" w:rsidSect="00162E61">
      <w:footerReference w:type="first" r:id="rId11"/>
      <w:pgSz w:w="11909" w:h="16834" w:code="9"/>
      <w:pgMar w:top="864" w:right="1728" w:bottom="1152" w:left="172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829" w:rsidRDefault="006E5829">
      <w:r>
        <w:separator/>
      </w:r>
    </w:p>
  </w:endnote>
  <w:endnote w:type="continuationSeparator" w:id="1">
    <w:p w:rsidR="006E5829" w:rsidRDefault="006E5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9" w:rsidRDefault="006E582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9pt;margin-top:10in;width:571.5pt;height:102.85pt;z-index:251660288;mso-position-vertical-relative:page" o:allowoverlap="f">
          <v:imagedata r:id="rId1" o:title="" cropbottom="15673f"/>
          <w10:wrap type="squar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29" w:rsidRDefault="006E5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829" w:rsidRDefault="006E5829">
      <w:r>
        <w:separator/>
      </w:r>
    </w:p>
  </w:footnote>
  <w:footnote w:type="continuationSeparator" w:id="1">
    <w:p w:rsidR="006E5829" w:rsidRDefault="006E5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b w:val="0"/>
        <w:bCs w:val="0"/>
      </w:rPr>
    </w:lvl>
  </w:abstractNum>
  <w:abstractNum w:abstractNumId="4">
    <w:nsid w:val="06872A75"/>
    <w:multiLevelType w:val="hybridMultilevel"/>
    <w:tmpl w:val="29BA4FC6"/>
    <w:lvl w:ilvl="0" w:tplc="35C2D996">
      <w:start w:val="4"/>
      <w:numFmt w:val="decimal"/>
      <w:lvlText w:val="%1."/>
      <w:lvlJc w:val="left"/>
      <w:pPr>
        <w:tabs>
          <w:tab w:val="num" w:pos="388"/>
        </w:tabs>
        <w:ind w:left="388" w:hanging="360"/>
      </w:pPr>
      <w:rPr>
        <w:rFonts w:hint="default"/>
        <w:b w:val="0"/>
        <w:bCs w:val="0"/>
        <w:i w:val="0"/>
        <w:iCs w:val="0"/>
      </w:rPr>
    </w:lvl>
    <w:lvl w:ilvl="1" w:tplc="08090019">
      <w:start w:val="1"/>
      <w:numFmt w:val="lowerLetter"/>
      <w:lvlText w:val="%2."/>
      <w:lvlJc w:val="left"/>
      <w:pPr>
        <w:ind w:left="1454" w:hanging="360"/>
      </w:pPr>
    </w:lvl>
    <w:lvl w:ilvl="2" w:tplc="0809001B">
      <w:start w:val="1"/>
      <w:numFmt w:val="lowerRoman"/>
      <w:lvlText w:val="%3."/>
      <w:lvlJc w:val="right"/>
      <w:pPr>
        <w:ind w:left="2174" w:hanging="180"/>
      </w:pPr>
    </w:lvl>
    <w:lvl w:ilvl="3" w:tplc="0809000F">
      <w:start w:val="1"/>
      <w:numFmt w:val="decimal"/>
      <w:lvlText w:val="%4."/>
      <w:lvlJc w:val="left"/>
      <w:pPr>
        <w:ind w:left="2894" w:hanging="360"/>
      </w:pPr>
    </w:lvl>
    <w:lvl w:ilvl="4" w:tplc="08090019">
      <w:start w:val="1"/>
      <w:numFmt w:val="lowerLetter"/>
      <w:lvlText w:val="%5."/>
      <w:lvlJc w:val="left"/>
      <w:pPr>
        <w:ind w:left="3614" w:hanging="360"/>
      </w:pPr>
    </w:lvl>
    <w:lvl w:ilvl="5" w:tplc="0809001B">
      <w:start w:val="1"/>
      <w:numFmt w:val="lowerRoman"/>
      <w:lvlText w:val="%6."/>
      <w:lvlJc w:val="right"/>
      <w:pPr>
        <w:ind w:left="4334" w:hanging="180"/>
      </w:pPr>
    </w:lvl>
    <w:lvl w:ilvl="6" w:tplc="0809000F">
      <w:start w:val="1"/>
      <w:numFmt w:val="decimal"/>
      <w:lvlText w:val="%7."/>
      <w:lvlJc w:val="left"/>
      <w:pPr>
        <w:ind w:left="5054" w:hanging="360"/>
      </w:pPr>
    </w:lvl>
    <w:lvl w:ilvl="7" w:tplc="08090019">
      <w:start w:val="1"/>
      <w:numFmt w:val="lowerLetter"/>
      <w:lvlText w:val="%8."/>
      <w:lvlJc w:val="left"/>
      <w:pPr>
        <w:ind w:left="5774" w:hanging="360"/>
      </w:pPr>
    </w:lvl>
    <w:lvl w:ilvl="8" w:tplc="0809001B">
      <w:start w:val="1"/>
      <w:numFmt w:val="lowerRoman"/>
      <w:lvlText w:val="%9."/>
      <w:lvlJc w:val="right"/>
      <w:pPr>
        <w:ind w:left="6494" w:hanging="180"/>
      </w:pPr>
    </w:lvl>
  </w:abstractNum>
  <w:abstractNum w:abstractNumId="5">
    <w:nsid w:val="1293521B"/>
    <w:multiLevelType w:val="hybridMultilevel"/>
    <w:tmpl w:val="23608AD0"/>
    <w:lvl w:ilvl="0" w:tplc="918AD572">
      <w:start w:val="1"/>
      <w:numFmt w:val="bullet"/>
      <w:lvlText w:val=""/>
      <w:lvlJc w:val="left"/>
      <w:pPr>
        <w:tabs>
          <w:tab w:val="num" w:pos="720"/>
        </w:tabs>
        <w:ind w:left="720" w:hanging="360"/>
      </w:pPr>
      <w:rPr>
        <w:rFonts w:ascii="Symbol" w:hAnsi="Symbol" w:cs="Symbol" w:hint="default"/>
        <w:i w:val="0"/>
        <w:iCs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39237E"/>
    <w:multiLevelType w:val="hybridMultilevel"/>
    <w:tmpl w:val="852A17E0"/>
    <w:lvl w:ilvl="0" w:tplc="35C2D996">
      <w:start w:val="4"/>
      <w:numFmt w:val="decimal"/>
      <w:lvlText w:val="%1."/>
      <w:lvlJc w:val="left"/>
      <w:pPr>
        <w:tabs>
          <w:tab w:val="num" w:pos="374"/>
        </w:tabs>
        <w:ind w:left="374"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8FD4D30"/>
    <w:multiLevelType w:val="hybridMultilevel"/>
    <w:tmpl w:val="4016E00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nsid w:val="19DD6ED1"/>
    <w:multiLevelType w:val="hybridMultilevel"/>
    <w:tmpl w:val="06FC71A8"/>
    <w:lvl w:ilvl="0" w:tplc="50E4D1A6">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5912ED"/>
    <w:multiLevelType w:val="hybridMultilevel"/>
    <w:tmpl w:val="8BCEFE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7EA00F3"/>
    <w:multiLevelType w:val="hybridMultilevel"/>
    <w:tmpl w:val="A7529BF0"/>
    <w:lvl w:ilvl="0" w:tplc="35C2D996">
      <w:start w:val="4"/>
      <w:numFmt w:val="decimal"/>
      <w:lvlText w:val="%1."/>
      <w:lvlJc w:val="left"/>
      <w:pPr>
        <w:tabs>
          <w:tab w:val="num" w:pos="374"/>
        </w:tabs>
        <w:ind w:left="374" w:hanging="360"/>
      </w:pPr>
      <w:rPr>
        <w:rFonts w:hint="default"/>
        <w:b w:val="0"/>
        <w:bCs w:val="0"/>
        <w:i w:val="0"/>
        <w:iCs w:val="0"/>
      </w:rPr>
    </w:lvl>
    <w:lvl w:ilvl="1" w:tplc="04090019">
      <w:start w:val="1"/>
      <w:numFmt w:val="lowerLetter"/>
      <w:lvlText w:val="%2."/>
      <w:lvlJc w:val="left"/>
      <w:pPr>
        <w:tabs>
          <w:tab w:val="num" w:pos="1094"/>
        </w:tabs>
        <w:ind w:left="1094" w:hanging="360"/>
      </w:p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11">
    <w:nsid w:val="2CC943DE"/>
    <w:multiLevelType w:val="hybridMultilevel"/>
    <w:tmpl w:val="95EE368A"/>
    <w:lvl w:ilvl="0" w:tplc="024C8B12">
      <w:start w:val="2"/>
      <w:numFmt w:val="decimal"/>
      <w:lvlText w:val="%1."/>
      <w:lvlJc w:val="left"/>
      <w:pPr>
        <w:tabs>
          <w:tab w:val="num" w:pos="374"/>
        </w:tabs>
        <w:ind w:left="374" w:hanging="360"/>
      </w:pPr>
      <w:rPr>
        <w:rFonts w:hint="default"/>
      </w:rPr>
    </w:lvl>
    <w:lvl w:ilvl="1" w:tplc="6218A310">
      <w:start w:val="13"/>
      <w:numFmt w:val="decimal"/>
      <w:lvlText w:val="%2"/>
      <w:lvlJc w:val="left"/>
      <w:pPr>
        <w:tabs>
          <w:tab w:val="num" w:pos="1094"/>
        </w:tabs>
        <w:ind w:left="1094"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12">
    <w:nsid w:val="37266F7D"/>
    <w:multiLevelType w:val="hybridMultilevel"/>
    <w:tmpl w:val="98127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D5700F5"/>
    <w:multiLevelType w:val="hybridMultilevel"/>
    <w:tmpl w:val="536849F6"/>
    <w:lvl w:ilvl="0" w:tplc="0809000F">
      <w:start w:val="1"/>
      <w:numFmt w:val="decimal"/>
      <w:lvlText w:val="%1."/>
      <w:lvlJc w:val="left"/>
      <w:pPr>
        <w:ind w:left="855" w:hanging="360"/>
      </w:pPr>
    </w:lvl>
    <w:lvl w:ilvl="1" w:tplc="08090019">
      <w:start w:val="1"/>
      <w:numFmt w:val="lowerLetter"/>
      <w:lvlText w:val="%2."/>
      <w:lvlJc w:val="left"/>
      <w:pPr>
        <w:ind w:left="1575" w:hanging="360"/>
      </w:pPr>
    </w:lvl>
    <w:lvl w:ilvl="2" w:tplc="0809001B">
      <w:start w:val="1"/>
      <w:numFmt w:val="lowerRoman"/>
      <w:lvlText w:val="%3."/>
      <w:lvlJc w:val="right"/>
      <w:pPr>
        <w:ind w:left="2295" w:hanging="180"/>
      </w:pPr>
    </w:lvl>
    <w:lvl w:ilvl="3" w:tplc="0809000F">
      <w:start w:val="1"/>
      <w:numFmt w:val="decimal"/>
      <w:lvlText w:val="%4."/>
      <w:lvlJc w:val="left"/>
      <w:pPr>
        <w:ind w:left="3015" w:hanging="360"/>
      </w:pPr>
    </w:lvl>
    <w:lvl w:ilvl="4" w:tplc="08090019">
      <w:start w:val="1"/>
      <w:numFmt w:val="lowerLetter"/>
      <w:lvlText w:val="%5."/>
      <w:lvlJc w:val="left"/>
      <w:pPr>
        <w:ind w:left="3735" w:hanging="360"/>
      </w:pPr>
    </w:lvl>
    <w:lvl w:ilvl="5" w:tplc="0809001B">
      <w:start w:val="1"/>
      <w:numFmt w:val="lowerRoman"/>
      <w:lvlText w:val="%6."/>
      <w:lvlJc w:val="right"/>
      <w:pPr>
        <w:ind w:left="4455" w:hanging="180"/>
      </w:pPr>
    </w:lvl>
    <w:lvl w:ilvl="6" w:tplc="0809000F">
      <w:start w:val="1"/>
      <w:numFmt w:val="decimal"/>
      <w:lvlText w:val="%7."/>
      <w:lvlJc w:val="left"/>
      <w:pPr>
        <w:ind w:left="5175" w:hanging="360"/>
      </w:pPr>
    </w:lvl>
    <w:lvl w:ilvl="7" w:tplc="08090019">
      <w:start w:val="1"/>
      <w:numFmt w:val="lowerLetter"/>
      <w:lvlText w:val="%8."/>
      <w:lvlJc w:val="left"/>
      <w:pPr>
        <w:ind w:left="5895" w:hanging="360"/>
      </w:pPr>
    </w:lvl>
    <w:lvl w:ilvl="8" w:tplc="0809001B">
      <w:start w:val="1"/>
      <w:numFmt w:val="lowerRoman"/>
      <w:lvlText w:val="%9."/>
      <w:lvlJc w:val="right"/>
      <w:pPr>
        <w:ind w:left="6615" w:hanging="180"/>
      </w:pPr>
    </w:lvl>
  </w:abstractNum>
  <w:abstractNum w:abstractNumId="14">
    <w:nsid w:val="4259134D"/>
    <w:multiLevelType w:val="hybridMultilevel"/>
    <w:tmpl w:val="36F0EF7A"/>
    <w:lvl w:ilvl="0" w:tplc="918AD572">
      <w:start w:val="1"/>
      <w:numFmt w:val="bullet"/>
      <w:lvlText w:val=""/>
      <w:lvlJc w:val="left"/>
      <w:pPr>
        <w:tabs>
          <w:tab w:val="num" w:pos="1440"/>
        </w:tabs>
        <w:ind w:left="1440" w:hanging="360"/>
      </w:pPr>
      <w:rPr>
        <w:rFonts w:ascii="Symbol" w:hAnsi="Symbol" w:cs="Symbol" w:hint="default"/>
        <w:b w:val="0"/>
        <w:bCs w:val="0"/>
        <w:i w:val="0"/>
        <w:iCs w:val="0"/>
      </w:rPr>
    </w:lvl>
    <w:lvl w:ilvl="1" w:tplc="F2962836">
      <w:start w:val="1"/>
      <w:numFmt w:val="lowerLetter"/>
      <w:lvlText w:val="%2."/>
      <w:lvlJc w:val="left"/>
      <w:pPr>
        <w:tabs>
          <w:tab w:val="num" w:pos="2146"/>
        </w:tabs>
        <w:ind w:left="2146" w:hanging="360"/>
      </w:pPr>
      <w:rPr>
        <w:rFonts w:hint="default"/>
      </w:rPr>
    </w:lvl>
    <w:lvl w:ilvl="2" w:tplc="0409001B">
      <w:start w:val="1"/>
      <w:numFmt w:val="lowerRoman"/>
      <w:lvlText w:val="%3."/>
      <w:lvlJc w:val="right"/>
      <w:pPr>
        <w:tabs>
          <w:tab w:val="num" w:pos="2866"/>
        </w:tabs>
        <w:ind w:left="2866" w:hanging="180"/>
      </w:pPr>
    </w:lvl>
    <w:lvl w:ilvl="3" w:tplc="0409000F">
      <w:start w:val="1"/>
      <w:numFmt w:val="decimal"/>
      <w:lvlText w:val="%4."/>
      <w:lvlJc w:val="left"/>
      <w:pPr>
        <w:tabs>
          <w:tab w:val="num" w:pos="3586"/>
        </w:tabs>
        <w:ind w:left="3586" w:hanging="360"/>
      </w:pPr>
    </w:lvl>
    <w:lvl w:ilvl="4" w:tplc="04090019">
      <w:start w:val="1"/>
      <w:numFmt w:val="lowerLetter"/>
      <w:lvlText w:val="%5."/>
      <w:lvlJc w:val="left"/>
      <w:pPr>
        <w:tabs>
          <w:tab w:val="num" w:pos="4306"/>
        </w:tabs>
        <w:ind w:left="4306" w:hanging="360"/>
      </w:pPr>
    </w:lvl>
    <w:lvl w:ilvl="5" w:tplc="0409001B">
      <w:start w:val="1"/>
      <w:numFmt w:val="lowerRoman"/>
      <w:lvlText w:val="%6."/>
      <w:lvlJc w:val="right"/>
      <w:pPr>
        <w:tabs>
          <w:tab w:val="num" w:pos="5026"/>
        </w:tabs>
        <w:ind w:left="5026" w:hanging="180"/>
      </w:pPr>
    </w:lvl>
    <w:lvl w:ilvl="6" w:tplc="0409000F">
      <w:start w:val="1"/>
      <w:numFmt w:val="decimal"/>
      <w:lvlText w:val="%7."/>
      <w:lvlJc w:val="left"/>
      <w:pPr>
        <w:tabs>
          <w:tab w:val="num" w:pos="5746"/>
        </w:tabs>
        <w:ind w:left="5746" w:hanging="360"/>
      </w:pPr>
    </w:lvl>
    <w:lvl w:ilvl="7" w:tplc="04090019">
      <w:start w:val="1"/>
      <w:numFmt w:val="lowerLetter"/>
      <w:lvlText w:val="%8."/>
      <w:lvlJc w:val="left"/>
      <w:pPr>
        <w:tabs>
          <w:tab w:val="num" w:pos="6466"/>
        </w:tabs>
        <w:ind w:left="6466" w:hanging="360"/>
      </w:pPr>
    </w:lvl>
    <w:lvl w:ilvl="8" w:tplc="0409001B">
      <w:start w:val="1"/>
      <w:numFmt w:val="lowerRoman"/>
      <w:lvlText w:val="%9."/>
      <w:lvlJc w:val="right"/>
      <w:pPr>
        <w:tabs>
          <w:tab w:val="num" w:pos="7186"/>
        </w:tabs>
        <w:ind w:left="7186" w:hanging="180"/>
      </w:pPr>
    </w:lvl>
  </w:abstractNum>
  <w:abstractNum w:abstractNumId="15">
    <w:nsid w:val="513E7DD3"/>
    <w:multiLevelType w:val="singleLevel"/>
    <w:tmpl w:val="46D6CBD2"/>
    <w:lvl w:ilvl="0">
      <w:start w:val="1"/>
      <w:numFmt w:val="bullet"/>
      <w:pStyle w:val="bullet4"/>
      <w:lvlText w:val=""/>
      <w:lvlJc w:val="left"/>
      <w:pPr>
        <w:tabs>
          <w:tab w:val="num" w:pos="360"/>
        </w:tabs>
        <w:ind w:left="340" w:hanging="340"/>
      </w:pPr>
      <w:rPr>
        <w:rFonts w:ascii="Wingdings" w:hAnsi="Wingdings" w:cs="Wingdings" w:hint="default"/>
      </w:rPr>
    </w:lvl>
  </w:abstractNum>
  <w:abstractNum w:abstractNumId="16">
    <w:nsid w:val="529B3C00"/>
    <w:multiLevelType w:val="hybridMultilevel"/>
    <w:tmpl w:val="05525A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55AD1129"/>
    <w:multiLevelType w:val="hybridMultilevel"/>
    <w:tmpl w:val="45288C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74C5856"/>
    <w:multiLevelType w:val="hybridMultilevel"/>
    <w:tmpl w:val="4DC6F696"/>
    <w:lvl w:ilvl="0" w:tplc="C8C854AE">
      <w:start w:val="1"/>
      <w:numFmt w:val="decimal"/>
      <w:lvlText w:val="%1."/>
      <w:lvlJc w:val="left"/>
      <w:pPr>
        <w:ind w:left="374" w:hanging="360"/>
      </w:pPr>
      <w:rPr>
        <w:rFonts w:hint="default"/>
      </w:rPr>
    </w:lvl>
    <w:lvl w:ilvl="1" w:tplc="08090019">
      <w:start w:val="1"/>
      <w:numFmt w:val="lowerLetter"/>
      <w:lvlText w:val="%2."/>
      <w:lvlJc w:val="left"/>
      <w:pPr>
        <w:ind w:left="1094" w:hanging="360"/>
      </w:pPr>
    </w:lvl>
    <w:lvl w:ilvl="2" w:tplc="0809001B">
      <w:start w:val="1"/>
      <w:numFmt w:val="lowerRoman"/>
      <w:lvlText w:val="%3."/>
      <w:lvlJc w:val="right"/>
      <w:pPr>
        <w:ind w:left="1814" w:hanging="180"/>
      </w:pPr>
    </w:lvl>
    <w:lvl w:ilvl="3" w:tplc="0809000F">
      <w:start w:val="1"/>
      <w:numFmt w:val="decimal"/>
      <w:lvlText w:val="%4."/>
      <w:lvlJc w:val="left"/>
      <w:pPr>
        <w:ind w:left="2534" w:hanging="360"/>
      </w:pPr>
    </w:lvl>
    <w:lvl w:ilvl="4" w:tplc="08090019">
      <w:start w:val="1"/>
      <w:numFmt w:val="lowerLetter"/>
      <w:lvlText w:val="%5."/>
      <w:lvlJc w:val="left"/>
      <w:pPr>
        <w:ind w:left="3254" w:hanging="360"/>
      </w:pPr>
    </w:lvl>
    <w:lvl w:ilvl="5" w:tplc="0809001B">
      <w:start w:val="1"/>
      <w:numFmt w:val="lowerRoman"/>
      <w:lvlText w:val="%6."/>
      <w:lvlJc w:val="right"/>
      <w:pPr>
        <w:ind w:left="3974" w:hanging="180"/>
      </w:pPr>
    </w:lvl>
    <w:lvl w:ilvl="6" w:tplc="0809000F">
      <w:start w:val="1"/>
      <w:numFmt w:val="decimal"/>
      <w:lvlText w:val="%7."/>
      <w:lvlJc w:val="left"/>
      <w:pPr>
        <w:ind w:left="4694" w:hanging="360"/>
      </w:pPr>
    </w:lvl>
    <w:lvl w:ilvl="7" w:tplc="08090019">
      <w:start w:val="1"/>
      <w:numFmt w:val="lowerLetter"/>
      <w:lvlText w:val="%8."/>
      <w:lvlJc w:val="left"/>
      <w:pPr>
        <w:ind w:left="5414" w:hanging="360"/>
      </w:pPr>
    </w:lvl>
    <w:lvl w:ilvl="8" w:tplc="0809001B">
      <w:start w:val="1"/>
      <w:numFmt w:val="lowerRoman"/>
      <w:lvlText w:val="%9."/>
      <w:lvlJc w:val="right"/>
      <w:pPr>
        <w:ind w:left="6134" w:hanging="180"/>
      </w:pPr>
    </w:lvl>
  </w:abstractNum>
  <w:abstractNum w:abstractNumId="19">
    <w:nsid w:val="616F1889"/>
    <w:multiLevelType w:val="hybridMultilevel"/>
    <w:tmpl w:val="D27C705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6DD252A9"/>
    <w:multiLevelType w:val="hybridMultilevel"/>
    <w:tmpl w:val="C6FC5D9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6ED82D35"/>
    <w:multiLevelType w:val="hybridMultilevel"/>
    <w:tmpl w:val="16FCFF7E"/>
    <w:lvl w:ilvl="0" w:tplc="918AD572">
      <w:start w:val="1"/>
      <w:numFmt w:val="bullet"/>
      <w:lvlText w:val=""/>
      <w:lvlJc w:val="left"/>
      <w:pPr>
        <w:tabs>
          <w:tab w:val="num" w:pos="734"/>
        </w:tabs>
        <w:ind w:left="734" w:hanging="360"/>
      </w:pPr>
      <w:rPr>
        <w:rFonts w:ascii="Symbol" w:hAnsi="Symbol" w:cs="Symbol" w:hint="default"/>
        <w:b w:val="0"/>
        <w:bCs w:val="0"/>
        <w:i w:val="0"/>
        <w:iCs w:val="0"/>
      </w:rPr>
    </w:lvl>
    <w:lvl w:ilvl="1" w:tplc="F29628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num w:numId="1">
    <w:abstractNumId w:val="15"/>
  </w:num>
  <w:num w:numId="2">
    <w:abstractNumId w:val="22"/>
  </w:num>
  <w:num w:numId="3">
    <w:abstractNumId w:val="19"/>
  </w:num>
  <w:num w:numId="4">
    <w:abstractNumId w:val="5"/>
  </w:num>
  <w:num w:numId="5">
    <w:abstractNumId w:val="21"/>
  </w:num>
  <w:num w:numId="6">
    <w:abstractNumId w:val="14"/>
  </w:num>
  <w:num w:numId="7">
    <w:abstractNumId w:val="20"/>
  </w:num>
  <w:num w:numId="8">
    <w:abstractNumId w:val="11"/>
  </w:num>
  <w:num w:numId="9">
    <w:abstractNumId w:val="10"/>
  </w:num>
  <w:num w:numId="10">
    <w:abstractNumId w:val="9"/>
  </w:num>
  <w:num w:numId="11">
    <w:abstractNumId w:val="7"/>
  </w:num>
  <w:num w:numId="12">
    <w:abstractNumId w:val="16"/>
  </w:num>
  <w:num w:numId="13">
    <w:abstractNumId w:val="18"/>
  </w:num>
  <w:num w:numId="14">
    <w:abstractNumId w:val="12"/>
  </w:num>
  <w:num w:numId="15">
    <w:abstractNumId w:val="6"/>
  </w:num>
  <w:num w:numId="16">
    <w:abstractNumId w:val="4"/>
  </w:num>
  <w:num w:numId="17">
    <w:abstractNumId w:val="13"/>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EE2"/>
    <w:rsid w:val="000008F4"/>
    <w:rsid w:val="00000FF6"/>
    <w:rsid w:val="000010B5"/>
    <w:rsid w:val="00013073"/>
    <w:rsid w:val="000153C8"/>
    <w:rsid w:val="00017A92"/>
    <w:rsid w:val="00020F92"/>
    <w:rsid w:val="000237FC"/>
    <w:rsid w:val="00026D3E"/>
    <w:rsid w:val="00033CFC"/>
    <w:rsid w:val="000445C5"/>
    <w:rsid w:val="00047583"/>
    <w:rsid w:val="00057C6B"/>
    <w:rsid w:val="000648BE"/>
    <w:rsid w:val="00071D0A"/>
    <w:rsid w:val="000741D7"/>
    <w:rsid w:val="00077DD9"/>
    <w:rsid w:val="00080CE7"/>
    <w:rsid w:val="00095151"/>
    <w:rsid w:val="000A0EEB"/>
    <w:rsid w:val="000A3323"/>
    <w:rsid w:val="000A55D4"/>
    <w:rsid w:val="000A65B6"/>
    <w:rsid w:val="000A7AB7"/>
    <w:rsid w:val="000B3A3B"/>
    <w:rsid w:val="000B55EA"/>
    <w:rsid w:val="000C2294"/>
    <w:rsid w:val="000C38F2"/>
    <w:rsid w:val="000D5EBC"/>
    <w:rsid w:val="000D7D4F"/>
    <w:rsid w:val="000E3A65"/>
    <w:rsid w:val="000F0C4F"/>
    <w:rsid w:val="00101476"/>
    <w:rsid w:val="00105E91"/>
    <w:rsid w:val="00111319"/>
    <w:rsid w:val="001128C9"/>
    <w:rsid w:val="001208AC"/>
    <w:rsid w:val="00120AB1"/>
    <w:rsid w:val="0012323C"/>
    <w:rsid w:val="001324E8"/>
    <w:rsid w:val="00132996"/>
    <w:rsid w:val="00133859"/>
    <w:rsid w:val="001340CC"/>
    <w:rsid w:val="00142267"/>
    <w:rsid w:val="0014345B"/>
    <w:rsid w:val="00145C62"/>
    <w:rsid w:val="001544A7"/>
    <w:rsid w:val="00157D29"/>
    <w:rsid w:val="00162E61"/>
    <w:rsid w:val="0016633C"/>
    <w:rsid w:val="00183637"/>
    <w:rsid w:val="00190254"/>
    <w:rsid w:val="00190271"/>
    <w:rsid w:val="001964C4"/>
    <w:rsid w:val="001A0668"/>
    <w:rsid w:val="001A4A5E"/>
    <w:rsid w:val="001A5077"/>
    <w:rsid w:val="001A5BE9"/>
    <w:rsid w:val="001A6C9E"/>
    <w:rsid w:val="001B36FA"/>
    <w:rsid w:val="001C0F13"/>
    <w:rsid w:val="001C42CC"/>
    <w:rsid w:val="001C6370"/>
    <w:rsid w:val="001C7923"/>
    <w:rsid w:val="001D2058"/>
    <w:rsid w:val="001D316B"/>
    <w:rsid w:val="001E591D"/>
    <w:rsid w:val="001E679E"/>
    <w:rsid w:val="001E7ED9"/>
    <w:rsid w:val="001F140A"/>
    <w:rsid w:val="001F18AC"/>
    <w:rsid w:val="001F5AA2"/>
    <w:rsid w:val="00201204"/>
    <w:rsid w:val="00202D79"/>
    <w:rsid w:val="0020529D"/>
    <w:rsid w:val="002057F8"/>
    <w:rsid w:val="00210C83"/>
    <w:rsid w:val="00213C8B"/>
    <w:rsid w:val="00223EBF"/>
    <w:rsid w:val="00227BB2"/>
    <w:rsid w:val="00231797"/>
    <w:rsid w:val="002318E3"/>
    <w:rsid w:val="0024655E"/>
    <w:rsid w:val="002502CA"/>
    <w:rsid w:val="00250D22"/>
    <w:rsid w:val="0025407C"/>
    <w:rsid w:val="002639B2"/>
    <w:rsid w:val="00263E3B"/>
    <w:rsid w:val="00265F34"/>
    <w:rsid w:val="00271FF4"/>
    <w:rsid w:val="00272B3E"/>
    <w:rsid w:val="00281BE6"/>
    <w:rsid w:val="00282F92"/>
    <w:rsid w:val="00286BB6"/>
    <w:rsid w:val="002879B1"/>
    <w:rsid w:val="00290514"/>
    <w:rsid w:val="00293285"/>
    <w:rsid w:val="00294252"/>
    <w:rsid w:val="0029460D"/>
    <w:rsid w:val="002A0969"/>
    <w:rsid w:val="002A4136"/>
    <w:rsid w:val="002A42A3"/>
    <w:rsid w:val="002A478D"/>
    <w:rsid w:val="002B6778"/>
    <w:rsid w:val="002B6E9E"/>
    <w:rsid w:val="002B7804"/>
    <w:rsid w:val="002C1506"/>
    <w:rsid w:val="002C3341"/>
    <w:rsid w:val="002D1742"/>
    <w:rsid w:val="002D1EE4"/>
    <w:rsid w:val="002D48CE"/>
    <w:rsid w:val="002D5E06"/>
    <w:rsid w:val="002E0C00"/>
    <w:rsid w:val="002E306F"/>
    <w:rsid w:val="002E3530"/>
    <w:rsid w:val="002E5342"/>
    <w:rsid w:val="002E6EBA"/>
    <w:rsid w:val="002F0563"/>
    <w:rsid w:val="002F1743"/>
    <w:rsid w:val="002F1E24"/>
    <w:rsid w:val="002F3901"/>
    <w:rsid w:val="002F66C1"/>
    <w:rsid w:val="002F6C60"/>
    <w:rsid w:val="002F6F78"/>
    <w:rsid w:val="003035AC"/>
    <w:rsid w:val="00303FD6"/>
    <w:rsid w:val="00313428"/>
    <w:rsid w:val="003144B6"/>
    <w:rsid w:val="00314665"/>
    <w:rsid w:val="003247CA"/>
    <w:rsid w:val="0032736E"/>
    <w:rsid w:val="003278D3"/>
    <w:rsid w:val="00330A34"/>
    <w:rsid w:val="00331DF1"/>
    <w:rsid w:val="003351A5"/>
    <w:rsid w:val="0034104A"/>
    <w:rsid w:val="00342FA2"/>
    <w:rsid w:val="00350856"/>
    <w:rsid w:val="00351768"/>
    <w:rsid w:val="00352E36"/>
    <w:rsid w:val="00355109"/>
    <w:rsid w:val="003616A2"/>
    <w:rsid w:val="00363F33"/>
    <w:rsid w:val="003642AC"/>
    <w:rsid w:val="00364CF9"/>
    <w:rsid w:val="003718A4"/>
    <w:rsid w:val="0037294A"/>
    <w:rsid w:val="00372DE6"/>
    <w:rsid w:val="00374CD9"/>
    <w:rsid w:val="003752D4"/>
    <w:rsid w:val="00376E10"/>
    <w:rsid w:val="00382E00"/>
    <w:rsid w:val="00384216"/>
    <w:rsid w:val="00384B2E"/>
    <w:rsid w:val="003912E0"/>
    <w:rsid w:val="00392365"/>
    <w:rsid w:val="003A178A"/>
    <w:rsid w:val="003A4BD3"/>
    <w:rsid w:val="003A4D3C"/>
    <w:rsid w:val="003B0A3C"/>
    <w:rsid w:val="003B3607"/>
    <w:rsid w:val="003B4BF1"/>
    <w:rsid w:val="003B5329"/>
    <w:rsid w:val="003B6CBF"/>
    <w:rsid w:val="003C6D61"/>
    <w:rsid w:val="003D3EEF"/>
    <w:rsid w:val="003D5FFB"/>
    <w:rsid w:val="003D76D5"/>
    <w:rsid w:val="003D78F6"/>
    <w:rsid w:val="003E2F59"/>
    <w:rsid w:val="003E3685"/>
    <w:rsid w:val="003E505F"/>
    <w:rsid w:val="003E52F0"/>
    <w:rsid w:val="003F0534"/>
    <w:rsid w:val="003F329A"/>
    <w:rsid w:val="003F5C5C"/>
    <w:rsid w:val="003F7DBD"/>
    <w:rsid w:val="00401629"/>
    <w:rsid w:val="004016BD"/>
    <w:rsid w:val="00405842"/>
    <w:rsid w:val="0040645D"/>
    <w:rsid w:val="00406AC9"/>
    <w:rsid w:val="00410CB1"/>
    <w:rsid w:val="00411DA0"/>
    <w:rsid w:val="00413A62"/>
    <w:rsid w:val="00415BBF"/>
    <w:rsid w:val="00420B0E"/>
    <w:rsid w:val="00422244"/>
    <w:rsid w:val="00424B37"/>
    <w:rsid w:val="00424D93"/>
    <w:rsid w:val="00433311"/>
    <w:rsid w:val="00434DC7"/>
    <w:rsid w:val="00441C37"/>
    <w:rsid w:val="00442794"/>
    <w:rsid w:val="00445A62"/>
    <w:rsid w:val="00461B55"/>
    <w:rsid w:val="00464EC7"/>
    <w:rsid w:val="004672DD"/>
    <w:rsid w:val="0046757C"/>
    <w:rsid w:val="0047536D"/>
    <w:rsid w:val="0048119F"/>
    <w:rsid w:val="00483233"/>
    <w:rsid w:val="0048324A"/>
    <w:rsid w:val="00484862"/>
    <w:rsid w:val="0049382D"/>
    <w:rsid w:val="00495CEF"/>
    <w:rsid w:val="004A3883"/>
    <w:rsid w:val="004A5CB0"/>
    <w:rsid w:val="004A6C1F"/>
    <w:rsid w:val="004B0EB2"/>
    <w:rsid w:val="004B2497"/>
    <w:rsid w:val="004B38FC"/>
    <w:rsid w:val="004B5E4F"/>
    <w:rsid w:val="004D1205"/>
    <w:rsid w:val="004D1AFF"/>
    <w:rsid w:val="004E68E7"/>
    <w:rsid w:val="004E7E05"/>
    <w:rsid w:val="004F1D70"/>
    <w:rsid w:val="004F49C3"/>
    <w:rsid w:val="004F6CB6"/>
    <w:rsid w:val="005012FD"/>
    <w:rsid w:val="00503B8E"/>
    <w:rsid w:val="00507B01"/>
    <w:rsid w:val="00510342"/>
    <w:rsid w:val="005103EA"/>
    <w:rsid w:val="00512055"/>
    <w:rsid w:val="005131D9"/>
    <w:rsid w:val="005164C8"/>
    <w:rsid w:val="00526EE2"/>
    <w:rsid w:val="005277E9"/>
    <w:rsid w:val="00527CCA"/>
    <w:rsid w:val="00527EF4"/>
    <w:rsid w:val="0053114A"/>
    <w:rsid w:val="00531B36"/>
    <w:rsid w:val="005348DE"/>
    <w:rsid w:val="00537D92"/>
    <w:rsid w:val="0055149E"/>
    <w:rsid w:val="005527E5"/>
    <w:rsid w:val="00554CAB"/>
    <w:rsid w:val="00556042"/>
    <w:rsid w:val="00557DC8"/>
    <w:rsid w:val="00567503"/>
    <w:rsid w:val="00570E86"/>
    <w:rsid w:val="0057101C"/>
    <w:rsid w:val="0057184D"/>
    <w:rsid w:val="00575BC4"/>
    <w:rsid w:val="005761F6"/>
    <w:rsid w:val="005819EB"/>
    <w:rsid w:val="005829DC"/>
    <w:rsid w:val="005846D7"/>
    <w:rsid w:val="00585568"/>
    <w:rsid w:val="00590DB7"/>
    <w:rsid w:val="00590F80"/>
    <w:rsid w:val="00591139"/>
    <w:rsid w:val="00592C5A"/>
    <w:rsid w:val="005943C9"/>
    <w:rsid w:val="00597F30"/>
    <w:rsid w:val="005A11CB"/>
    <w:rsid w:val="005B2123"/>
    <w:rsid w:val="005B4944"/>
    <w:rsid w:val="005C310F"/>
    <w:rsid w:val="005C5316"/>
    <w:rsid w:val="005C7E13"/>
    <w:rsid w:val="005D396D"/>
    <w:rsid w:val="005D44B6"/>
    <w:rsid w:val="005D4D09"/>
    <w:rsid w:val="005D6BCE"/>
    <w:rsid w:val="005E0F32"/>
    <w:rsid w:val="005E14A3"/>
    <w:rsid w:val="005E2179"/>
    <w:rsid w:val="005E6541"/>
    <w:rsid w:val="005F0507"/>
    <w:rsid w:val="005F064C"/>
    <w:rsid w:val="005F0C42"/>
    <w:rsid w:val="005F3444"/>
    <w:rsid w:val="005F7C93"/>
    <w:rsid w:val="00601DA5"/>
    <w:rsid w:val="00602157"/>
    <w:rsid w:val="0060498D"/>
    <w:rsid w:val="0060598C"/>
    <w:rsid w:val="00606D37"/>
    <w:rsid w:val="006105DE"/>
    <w:rsid w:val="00611D28"/>
    <w:rsid w:val="00615932"/>
    <w:rsid w:val="00615F24"/>
    <w:rsid w:val="006168C5"/>
    <w:rsid w:val="00620444"/>
    <w:rsid w:val="00620496"/>
    <w:rsid w:val="00621467"/>
    <w:rsid w:val="0062749B"/>
    <w:rsid w:val="00627792"/>
    <w:rsid w:val="00627C0F"/>
    <w:rsid w:val="00630716"/>
    <w:rsid w:val="0063402D"/>
    <w:rsid w:val="006343E8"/>
    <w:rsid w:val="00640F02"/>
    <w:rsid w:val="00641CE7"/>
    <w:rsid w:val="00646DD6"/>
    <w:rsid w:val="00647BA6"/>
    <w:rsid w:val="00652D9B"/>
    <w:rsid w:val="006635B3"/>
    <w:rsid w:val="00664F41"/>
    <w:rsid w:val="006653DB"/>
    <w:rsid w:val="0067708B"/>
    <w:rsid w:val="006865D8"/>
    <w:rsid w:val="00686DA6"/>
    <w:rsid w:val="00687BBB"/>
    <w:rsid w:val="006922F7"/>
    <w:rsid w:val="00693ED1"/>
    <w:rsid w:val="006952B4"/>
    <w:rsid w:val="00696783"/>
    <w:rsid w:val="00696853"/>
    <w:rsid w:val="00696FC4"/>
    <w:rsid w:val="006A1C79"/>
    <w:rsid w:val="006A5F3D"/>
    <w:rsid w:val="006A71FD"/>
    <w:rsid w:val="006B0BBB"/>
    <w:rsid w:val="006B608B"/>
    <w:rsid w:val="006B60C9"/>
    <w:rsid w:val="006B7F40"/>
    <w:rsid w:val="006C1186"/>
    <w:rsid w:val="006C2DD1"/>
    <w:rsid w:val="006C2EFC"/>
    <w:rsid w:val="006C2F99"/>
    <w:rsid w:val="006C315F"/>
    <w:rsid w:val="006C5356"/>
    <w:rsid w:val="006C633B"/>
    <w:rsid w:val="006D1B56"/>
    <w:rsid w:val="006D2871"/>
    <w:rsid w:val="006D3599"/>
    <w:rsid w:val="006D4931"/>
    <w:rsid w:val="006D537F"/>
    <w:rsid w:val="006D59E8"/>
    <w:rsid w:val="006D7DC6"/>
    <w:rsid w:val="006E03D0"/>
    <w:rsid w:val="006E5829"/>
    <w:rsid w:val="006E78FC"/>
    <w:rsid w:val="006F0E42"/>
    <w:rsid w:val="006F3483"/>
    <w:rsid w:val="006F472F"/>
    <w:rsid w:val="00703F97"/>
    <w:rsid w:val="00704EF6"/>
    <w:rsid w:val="00712B0C"/>
    <w:rsid w:val="00715EFD"/>
    <w:rsid w:val="0071744F"/>
    <w:rsid w:val="00720086"/>
    <w:rsid w:val="00721E27"/>
    <w:rsid w:val="00724D5D"/>
    <w:rsid w:val="00727285"/>
    <w:rsid w:val="0072781E"/>
    <w:rsid w:val="00730F9E"/>
    <w:rsid w:val="00732572"/>
    <w:rsid w:val="007345AA"/>
    <w:rsid w:val="00737F1C"/>
    <w:rsid w:val="007406EB"/>
    <w:rsid w:val="00740CB5"/>
    <w:rsid w:val="007420B6"/>
    <w:rsid w:val="007435F7"/>
    <w:rsid w:val="007471E6"/>
    <w:rsid w:val="00753441"/>
    <w:rsid w:val="00753A35"/>
    <w:rsid w:val="00753D04"/>
    <w:rsid w:val="007567CF"/>
    <w:rsid w:val="00756995"/>
    <w:rsid w:val="00761B6A"/>
    <w:rsid w:val="00761E75"/>
    <w:rsid w:val="00763D04"/>
    <w:rsid w:val="00765469"/>
    <w:rsid w:val="007660D8"/>
    <w:rsid w:val="00770B36"/>
    <w:rsid w:val="0077372E"/>
    <w:rsid w:val="00776211"/>
    <w:rsid w:val="00783FD3"/>
    <w:rsid w:val="007853B9"/>
    <w:rsid w:val="00785881"/>
    <w:rsid w:val="007862AC"/>
    <w:rsid w:val="00791020"/>
    <w:rsid w:val="007913C5"/>
    <w:rsid w:val="00794192"/>
    <w:rsid w:val="00794CA8"/>
    <w:rsid w:val="007966DE"/>
    <w:rsid w:val="007A1F52"/>
    <w:rsid w:val="007A4111"/>
    <w:rsid w:val="007A4387"/>
    <w:rsid w:val="007B3A99"/>
    <w:rsid w:val="007C3FF0"/>
    <w:rsid w:val="007D2B5C"/>
    <w:rsid w:val="007D3C5C"/>
    <w:rsid w:val="007E3328"/>
    <w:rsid w:val="007E619C"/>
    <w:rsid w:val="007F0826"/>
    <w:rsid w:val="007F210D"/>
    <w:rsid w:val="007F2DCB"/>
    <w:rsid w:val="007F4174"/>
    <w:rsid w:val="007F4196"/>
    <w:rsid w:val="007F6E16"/>
    <w:rsid w:val="007F7D4E"/>
    <w:rsid w:val="00807B44"/>
    <w:rsid w:val="008109E6"/>
    <w:rsid w:val="008261E4"/>
    <w:rsid w:val="0082654C"/>
    <w:rsid w:val="00834C2C"/>
    <w:rsid w:val="0083536B"/>
    <w:rsid w:val="008358C3"/>
    <w:rsid w:val="00840EC4"/>
    <w:rsid w:val="008421AB"/>
    <w:rsid w:val="0084452D"/>
    <w:rsid w:val="00844D4D"/>
    <w:rsid w:val="0084650D"/>
    <w:rsid w:val="00853254"/>
    <w:rsid w:val="00862E3B"/>
    <w:rsid w:val="00865C99"/>
    <w:rsid w:val="00870B38"/>
    <w:rsid w:val="0087231C"/>
    <w:rsid w:val="00874570"/>
    <w:rsid w:val="00883CE5"/>
    <w:rsid w:val="00884E0B"/>
    <w:rsid w:val="00895DB2"/>
    <w:rsid w:val="008965BA"/>
    <w:rsid w:val="0089786C"/>
    <w:rsid w:val="00897B4D"/>
    <w:rsid w:val="008A09E3"/>
    <w:rsid w:val="008A1B85"/>
    <w:rsid w:val="008A7A3D"/>
    <w:rsid w:val="008B05DD"/>
    <w:rsid w:val="008B7B60"/>
    <w:rsid w:val="008C41F1"/>
    <w:rsid w:val="008C54C6"/>
    <w:rsid w:val="008C59EC"/>
    <w:rsid w:val="008D025E"/>
    <w:rsid w:val="008D12A7"/>
    <w:rsid w:val="008D3F41"/>
    <w:rsid w:val="008D578C"/>
    <w:rsid w:val="008D629E"/>
    <w:rsid w:val="008E0C33"/>
    <w:rsid w:val="008E216D"/>
    <w:rsid w:val="008E3B8F"/>
    <w:rsid w:val="008E7187"/>
    <w:rsid w:val="008F0BC5"/>
    <w:rsid w:val="008F4AC2"/>
    <w:rsid w:val="008F52A8"/>
    <w:rsid w:val="00904ED8"/>
    <w:rsid w:val="00907244"/>
    <w:rsid w:val="00907384"/>
    <w:rsid w:val="0091742E"/>
    <w:rsid w:val="00921113"/>
    <w:rsid w:val="009212AD"/>
    <w:rsid w:val="0093458A"/>
    <w:rsid w:val="0094106F"/>
    <w:rsid w:val="00944063"/>
    <w:rsid w:val="00945686"/>
    <w:rsid w:val="009459F6"/>
    <w:rsid w:val="00950FEF"/>
    <w:rsid w:val="0095279C"/>
    <w:rsid w:val="00953363"/>
    <w:rsid w:val="00955D48"/>
    <w:rsid w:val="00956227"/>
    <w:rsid w:val="00960A5C"/>
    <w:rsid w:val="0096260D"/>
    <w:rsid w:val="00966A1C"/>
    <w:rsid w:val="00970916"/>
    <w:rsid w:val="00971266"/>
    <w:rsid w:val="00972A0E"/>
    <w:rsid w:val="00980F9C"/>
    <w:rsid w:val="00981F03"/>
    <w:rsid w:val="0098206A"/>
    <w:rsid w:val="00983178"/>
    <w:rsid w:val="00984F5A"/>
    <w:rsid w:val="00985051"/>
    <w:rsid w:val="00985400"/>
    <w:rsid w:val="00986861"/>
    <w:rsid w:val="009870D0"/>
    <w:rsid w:val="0098738E"/>
    <w:rsid w:val="00987DC7"/>
    <w:rsid w:val="00992D02"/>
    <w:rsid w:val="00992EAB"/>
    <w:rsid w:val="00993AC7"/>
    <w:rsid w:val="009A1052"/>
    <w:rsid w:val="009A19FC"/>
    <w:rsid w:val="009A5DF2"/>
    <w:rsid w:val="009B1CCE"/>
    <w:rsid w:val="009B32D8"/>
    <w:rsid w:val="009B7603"/>
    <w:rsid w:val="009B7D24"/>
    <w:rsid w:val="009C5791"/>
    <w:rsid w:val="009C61BE"/>
    <w:rsid w:val="009C67AC"/>
    <w:rsid w:val="009C6BE1"/>
    <w:rsid w:val="009C7B18"/>
    <w:rsid w:val="009E1A00"/>
    <w:rsid w:val="009E43FF"/>
    <w:rsid w:val="009F7784"/>
    <w:rsid w:val="00A0499A"/>
    <w:rsid w:val="00A0602B"/>
    <w:rsid w:val="00A114C0"/>
    <w:rsid w:val="00A11C3F"/>
    <w:rsid w:val="00A168E4"/>
    <w:rsid w:val="00A175FE"/>
    <w:rsid w:val="00A234E5"/>
    <w:rsid w:val="00A23C3F"/>
    <w:rsid w:val="00A25412"/>
    <w:rsid w:val="00A2701A"/>
    <w:rsid w:val="00A273EA"/>
    <w:rsid w:val="00A33257"/>
    <w:rsid w:val="00A34D6D"/>
    <w:rsid w:val="00A45179"/>
    <w:rsid w:val="00A46570"/>
    <w:rsid w:val="00A47197"/>
    <w:rsid w:val="00A50283"/>
    <w:rsid w:val="00A504B1"/>
    <w:rsid w:val="00A55001"/>
    <w:rsid w:val="00A61663"/>
    <w:rsid w:val="00A7128C"/>
    <w:rsid w:val="00A7190E"/>
    <w:rsid w:val="00A731D4"/>
    <w:rsid w:val="00A73F20"/>
    <w:rsid w:val="00A7617D"/>
    <w:rsid w:val="00A83808"/>
    <w:rsid w:val="00A83ACC"/>
    <w:rsid w:val="00A8450A"/>
    <w:rsid w:val="00A901C0"/>
    <w:rsid w:val="00A92328"/>
    <w:rsid w:val="00A95A3D"/>
    <w:rsid w:val="00AA3559"/>
    <w:rsid w:val="00AB47A7"/>
    <w:rsid w:val="00AB4947"/>
    <w:rsid w:val="00AC736E"/>
    <w:rsid w:val="00AC7BFC"/>
    <w:rsid w:val="00AD1AFF"/>
    <w:rsid w:val="00AD2874"/>
    <w:rsid w:val="00AE1C31"/>
    <w:rsid w:val="00AE2820"/>
    <w:rsid w:val="00AE5177"/>
    <w:rsid w:val="00AF341D"/>
    <w:rsid w:val="00B0164A"/>
    <w:rsid w:val="00B04CEF"/>
    <w:rsid w:val="00B11A85"/>
    <w:rsid w:val="00B121F3"/>
    <w:rsid w:val="00B16773"/>
    <w:rsid w:val="00B169C1"/>
    <w:rsid w:val="00B16FD9"/>
    <w:rsid w:val="00B204B7"/>
    <w:rsid w:val="00B254C0"/>
    <w:rsid w:val="00B31330"/>
    <w:rsid w:val="00B32B78"/>
    <w:rsid w:val="00B352BE"/>
    <w:rsid w:val="00B401D6"/>
    <w:rsid w:val="00B40C72"/>
    <w:rsid w:val="00B41DE7"/>
    <w:rsid w:val="00B42FBC"/>
    <w:rsid w:val="00B431C4"/>
    <w:rsid w:val="00B44C40"/>
    <w:rsid w:val="00B45A33"/>
    <w:rsid w:val="00B46FD0"/>
    <w:rsid w:val="00B52016"/>
    <w:rsid w:val="00B547A5"/>
    <w:rsid w:val="00B56D55"/>
    <w:rsid w:val="00B62216"/>
    <w:rsid w:val="00B63D09"/>
    <w:rsid w:val="00B71B7D"/>
    <w:rsid w:val="00B71D03"/>
    <w:rsid w:val="00B723F8"/>
    <w:rsid w:val="00B75B91"/>
    <w:rsid w:val="00B75DB3"/>
    <w:rsid w:val="00B775BB"/>
    <w:rsid w:val="00B77E2E"/>
    <w:rsid w:val="00B80338"/>
    <w:rsid w:val="00B8290F"/>
    <w:rsid w:val="00B8324F"/>
    <w:rsid w:val="00B86F91"/>
    <w:rsid w:val="00B87221"/>
    <w:rsid w:val="00B906F7"/>
    <w:rsid w:val="00B93977"/>
    <w:rsid w:val="00BA2622"/>
    <w:rsid w:val="00BA5CD6"/>
    <w:rsid w:val="00BA709C"/>
    <w:rsid w:val="00BB1ECE"/>
    <w:rsid w:val="00BB60E3"/>
    <w:rsid w:val="00BC4DDC"/>
    <w:rsid w:val="00BC5FAA"/>
    <w:rsid w:val="00BC7A1D"/>
    <w:rsid w:val="00BD0CD7"/>
    <w:rsid w:val="00BD1BF0"/>
    <w:rsid w:val="00BD50B5"/>
    <w:rsid w:val="00BD5B99"/>
    <w:rsid w:val="00BD710E"/>
    <w:rsid w:val="00BE1529"/>
    <w:rsid w:val="00BE27B6"/>
    <w:rsid w:val="00BE391D"/>
    <w:rsid w:val="00BF0A6F"/>
    <w:rsid w:val="00BF1FE3"/>
    <w:rsid w:val="00BF28A5"/>
    <w:rsid w:val="00BF32BD"/>
    <w:rsid w:val="00BF4584"/>
    <w:rsid w:val="00BF4667"/>
    <w:rsid w:val="00BF5622"/>
    <w:rsid w:val="00BF6658"/>
    <w:rsid w:val="00C000A7"/>
    <w:rsid w:val="00C027DF"/>
    <w:rsid w:val="00C02F6B"/>
    <w:rsid w:val="00C03C16"/>
    <w:rsid w:val="00C04F0B"/>
    <w:rsid w:val="00C0747A"/>
    <w:rsid w:val="00C13A5F"/>
    <w:rsid w:val="00C169B6"/>
    <w:rsid w:val="00C27CB6"/>
    <w:rsid w:val="00C3029B"/>
    <w:rsid w:val="00C31CCC"/>
    <w:rsid w:val="00C41C83"/>
    <w:rsid w:val="00C508E3"/>
    <w:rsid w:val="00C5189C"/>
    <w:rsid w:val="00C51D0D"/>
    <w:rsid w:val="00C53FBB"/>
    <w:rsid w:val="00C56FDD"/>
    <w:rsid w:val="00C57A08"/>
    <w:rsid w:val="00C57BC4"/>
    <w:rsid w:val="00C63B44"/>
    <w:rsid w:val="00C63DB7"/>
    <w:rsid w:val="00C734A8"/>
    <w:rsid w:val="00C7356F"/>
    <w:rsid w:val="00C73DAF"/>
    <w:rsid w:val="00C7624F"/>
    <w:rsid w:val="00C767C6"/>
    <w:rsid w:val="00C80B7F"/>
    <w:rsid w:val="00C82291"/>
    <w:rsid w:val="00C83B12"/>
    <w:rsid w:val="00C87F26"/>
    <w:rsid w:val="00C9040F"/>
    <w:rsid w:val="00C9072D"/>
    <w:rsid w:val="00C907A7"/>
    <w:rsid w:val="00C9349C"/>
    <w:rsid w:val="00C954E5"/>
    <w:rsid w:val="00C9716B"/>
    <w:rsid w:val="00CA38F1"/>
    <w:rsid w:val="00CB09B8"/>
    <w:rsid w:val="00CB1A1A"/>
    <w:rsid w:val="00CB266A"/>
    <w:rsid w:val="00CB2C42"/>
    <w:rsid w:val="00CB30A1"/>
    <w:rsid w:val="00CB32D1"/>
    <w:rsid w:val="00CB37A4"/>
    <w:rsid w:val="00CB5276"/>
    <w:rsid w:val="00CB62CE"/>
    <w:rsid w:val="00CB7175"/>
    <w:rsid w:val="00CC1E0C"/>
    <w:rsid w:val="00CC5B04"/>
    <w:rsid w:val="00CC62D8"/>
    <w:rsid w:val="00CD1724"/>
    <w:rsid w:val="00CD53AC"/>
    <w:rsid w:val="00CD559E"/>
    <w:rsid w:val="00CF0445"/>
    <w:rsid w:val="00CF3B8A"/>
    <w:rsid w:val="00CF47B7"/>
    <w:rsid w:val="00CF50A7"/>
    <w:rsid w:val="00CF51A5"/>
    <w:rsid w:val="00CF68EE"/>
    <w:rsid w:val="00D01F79"/>
    <w:rsid w:val="00D039FA"/>
    <w:rsid w:val="00D05A67"/>
    <w:rsid w:val="00D13038"/>
    <w:rsid w:val="00D157D2"/>
    <w:rsid w:val="00D206F2"/>
    <w:rsid w:val="00D20A15"/>
    <w:rsid w:val="00D20E27"/>
    <w:rsid w:val="00D217C5"/>
    <w:rsid w:val="00D21A7B"/>
    <w:rsid w:val="00D32D4C"/>
    <w:rsid w:val="00D3447F"/>
    <w:rsid w:val="00D34CD1"/>
    <w:rsid w:val="00D36305"/>
    <w:rsid w:val="00D44BDF"/>
    <w:rsid w:val="00D44ECE"/>
    <w:rsid w:val="00D4511C"/>
    <w:rsid w:val="00D55281"/>
    <w:rsid w:val="00D55919"/>
    <w:rsid w:val="00D56C99"/>
    <w:rsid w:val="00D60427"/>
    <w:rsid w:val="00D61077"/>
    <w:rsid w:val="00D647D4"/>
    <w:rsid w:val="00D648BA"/>
    <w:rsid w:val="00D72484"/>
    <w:rsid w:val="00D740C4"/>
    <w:rsid w:val="00D8350A"/>
    <w:rsid w:val="00D835FF"/>
    <w:rsid w:val="00D848E5"/>
    <w:rsid w:val="00D91CDB"/>
    <w:rsid w:val="00D9285E"/>
    <w:rsid w:val="00D97AF1"/>
    <w:rsid w:val="00DA16E8"/>
    <w:rsid w:val="00DA29ED"/>
    <w:rsid w:val="00DA40C8"/>
    <w:rsid w:val="00DA798C"/>
    <w:rsid w:val="00DA79E2"/>
    <w:rsid w:val="00DA7D37"/>
    <w:rsid w:val="00DB51D3"/>
    <w:rsid w:val="00DB7C94"/>
    <w:rsid w:val="00DC29B3"/>
    <w:rsid w:val="00DC3ACD"/>
    <w:rsid w:val="00DC3C8C"/>
    <w:rsid w:val="00DC64C5"/>
    <w:rsid w:val="00DC6581"/>
    <w:rsid w:val="00DD0C4A"/>
    <w:rsid w:val="00DD1349"/>
    <w:rsid w:val="00DD1808"/>
    <w:rsid w:val="00DD1B1F"/>
    <w:rsid w:val="00DD2434"/>
    <w:rsid w:val="00DD3CE1"/>
    <w:rsid w:val="00DD3FBC"/>
    <w:rsid w:val="00DD524F"/>
    <w:rsid w:val="00DE2B8D"/>
    <w:rsid w:val="00DE2D88"/>
    <w:rsid w:val="00DE534A"/>
    <w:rsid w:val="00DE67DA"/>
    <w:rsid w:val="00DF03FB"/>
    <w:rsid w:val="00DF368B"/>
    <w:rsid w:val="00DF41FC"/>
    <w:rsid w:val="00DF5F01"/>
    <w:rsid w:val="00DF7D23"/>
    <w:rsid w:val="00E007BA"/>
    <w:rsid w:val="00E01FC5"/>
    <w:rsid w:val="00E02A90"/>
    <w:rsid w:val="00E04FF0"/>
    <w:rsid w:val="00E06FC6"/>
    <w:rsid w:val="00E12326"/>
    <w:rsid w:val="00E17916"/>
    <w:rsid w:val="00E20B11"/>
    <w:rsid w:val="00E21C6D"/>
    <w:rsid w:val="00E22550"/>
    <w:rsid w:val="00E244C4"/>
    <w:rsid w:val="00E246D7"/>
    <w:rsid w:val="00E2521D"/>
    <w:rsid w:val="00E27599"/>
    <w:rsid w:val="00E419ED"/>
    <w:rsid w:val="00E445DA"/>
    <w:rsid w:val="00E457BF"/>
    <w:rsid w:val="00E51876"/>
    <w:rsid w:val="00E53603"/>
    <w:rsid w:val="00E60855"/>
    <w:rsid w:val="00E60BE8"/>
    <w:rsid w:val="00E6148A"/>
    <w:rsid w:val="00E66512"/>
    <w:rsid w:val="00E710EC"/>
    <w:rsid w:val="00E7176F"/>
    <w:rsid w:val="00E8225A"/>
    <w:rsid w:val="00E83020"/>
    <w:rsid w:val="00E90449"/>
    <w:rsid w:val="00E91703"/>
    <w:rsid w:val="00E93FEC"/>
    <w:rsid w:val="00EA6443"/>
    <w:rsid w:val="00EA774D"/>
    <w:rsid w:val="00EB4018"/>
    <w:rsid w:val="00EB76F5"/>
    <w:rsid w:val="00EC6642"/>
    <w:rsid w:val="00ED1D94"/>
    <w:rsid w:val="00ED24B5"/>
    <w:rsid w:val="00ED35C7"/>
    <w:rsid w:val="00ED55EF"/>
    <w:rsid w:val="00ED5E14"/>
    <w:rsid w:val="00EE41DD"/>
    <w:rsid w:val="00EE6762"/>
    <w:rsid w:val="00EF0750"/>
    <w:rsid w:val="00EF2466"/>
    <w:rsid w:val="00EF3848"/>
    <w:rsid w:val="00EF3D60"/>
    <w:rsid w:val="00EF489A"/>
    <w:rsid w:val="00F0007A"/>
    <w:rsid w:val="00F027DD"/>
    <w:rsid w:val="00F077E8"/>
    <w:rsid w:val="00F1052D"/>
    <w:rsid w:val="00F13E49"/>
    <w:rsid w:val="00F14823"/>
    <w:rsid w:val="00F16647"/>
    <w:rsid w:val="00F16DB4"/>
    <w:rsid w:val="00F20166"/>
    <w:rsid w:val="00F33904"/>
    <w:rsid w:val="00F367B0"/>
    <w:rsid w:val="00F41505"/>
    <w:rsid w:val="00F42B57"/>
    <w:rsid w:val="00F4695D"/>
    <w:rsid w:val="00F57532"/>
    <w:rsid w:val="00F63815"/>
    <w:rsid w:val="00F66528"/>
    <w:rsid w:val="00F66BEC"/>
    <w:rsid w:val="00F71283"/>
    <w:rsid w:val="00F71950"/>
    <w:rsid w:val="00F72263"/>
    <w:rsid w:val="00F72370"/>
    <w:rsid w:val="00F72386"/>
    <w:rsid w:val="00F73762"/>
    <w:rsid w:val="00F73FB9"/>
    <w:rsid w:val="00F80172"/>
    <w:rsid w:val="00F845C3"/>
    <w:rsid w:val="00F86A36"/>
    <w:rsid w:val="00F904A3"/>
    <w:rsid w:val="00F91628"/>
    <w:rsid w:val="00F92295"/>
    <w:rsid w:val="00F93E15"/>
    <w:rsid w:val="00F96AB7"/>
    <w:rsid w:val="00FA0C42"/>
    <w:rsid w:val="00FA23DE"/>
    <w:rsid w:val="00FA3AF3"/>
    <w:rsid w:val="00FA5AE7"/>
    <w:rsid w:val="00FA7229"/>
    <w:rsid w:val="00FA7CF8"/>
    <w:rsid w:val="00FB11AF"/>
    <w:rsid w:val="00FB24B6"/>
    <w:rsid w:val="00FB435B"/>
    <w:rsid w:val="00FB5E35"/>
    <w:rsid w:val="00FC1E2B"/>
    <w:rsid w:val="00FC4BB9"/>
    <w:rsid w:val="00FD0FD5"/>
    <w:rsid w:val="00FD3FD7"/>
    <w:rsid w:val="00FE47DF"/>
    <w:rsid w:val="00FE5921"/>
    <w:rsid w:val="00FF213D"/>
    <w:rsid w:val="00FF2ABB"/>
    <w:rsid w:val="00FF4816"/>
    <w:rsid w:val="00FF51A9"/>
    <w:rsid w:val="00FF5530"/>
    <w:rsid w:val="00FF6A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950"/>
    <w:rPr>
      <w:rFonts w:ascii="Arial" w:hAnsi="Arial" w:cs="Arial"/>
      <w:sz w:val="24"/>
      <w:szCs w:val="24"/>
      <w:lang w:val="en-GB"/>
    </w:rPr>
  </w:style>
  <w:style w:type="paragraph" w:styleId="Heading1">
    <w:name w:val="heading 1"/>
    <w:basedOn w:val="Heading2"/>
    <w:next w:val="Normal"/>
    <w:link w:val="Heading1Char"/>
    <w:uiPriority w:val="99"/>
    <w:qFormat/>
    <w:rsid w:val="001F18AC"/>
    <w:pPr>
      <w:outlineLvl w:val="0"/>
    </w:pPr>
    <w:rPr>
      <w:rFonts w:ascii="Arial Black" w:hAnsi="Arial Black" w:cs="Arial Black"/>
      <w:b w:val="0"/>
      <w:bCs w:val="0"/>
      <w:sz w:val="32"/>
      <w:szCs w:val="32"/>
    </w:rPr>
  </w:style>
  <w:style w:type="paragraph" w:styleId="Heading2">
    <w:name w:val="heading 2"/>
    <w:aliases w:val="ND Heading 2,Proposal,Heading 2 Hidden"/>
    <w:basedOn w:val="Normal"/>
    <w:next w:val="Normal"/>
    <w:link w:val="Heading2Char"/>
    <w:uiPriority w:val="99"/>
    <w:qFormat/>
    <w:rsid w:val="001F18AC"/>
    <w:pPr>
      <w:outlineLvl w:val="1"/>
    </w:pPr>
    <w:rPr>
      <w:b/>
      <w:bCs/>
      <w:sz w:val="28"/>
      <w:szCs w:val="28"/>
    </w:rPr>
  </w:style>
  <w:style w:type="paragraph" w:styleId="Heading3">
    <w:name w:val="heading 3"/>
    <w:basedOn w:val="Normal"/>
    <w:next w:val="Normal"/>
    <w:link w:val="Heading3Char"/>
    <w:uiPriority w:val="99"/>
    <w:qFormat/>
    <w:rsid w:val="001F18AC"/>
    <w:pPr>
      <w:ind w:left="720" w:hanging="720"/>
      <w:jc w:val="both"/>
      <w:outlineLvl w:val="2"/>
    </w:pPr>
    <w:rPr>
      <w:b/>
      <w:bCs/>
      <w:i/>
      <w:iCs/>
    </w:rPr>
  </w:style>
  <w:style w:type="paragraph" w:styleId="Heading4">
    <w:name w:val="heading 4"/>
    <w:basedOn w:val="Normal"/>
    <w:next w:val="Normal"/>
    <w:link w:val="Heading4Char"/>
    <w:uiPriority w:val="99"/>
    <w:qFormat/>
    <w:rsid w:val="001F18AC"/>
    <w:pPr>
      <w:keepNext/>
      <w:outlineLvl w:val="3"/>
    </w:pPr>
    <w:rPr>
      <w:b/>
      <w:bCs/>
    </w:rPr>
  </w:style>
  <w:style w:type="paragraph" w:styleId="Heading5">
    <w:name w:val="heading 5"/>
    <w:basedOn w:val="Normal"/>
    <w:next w:val="Normal"/>
    <w:link w:val="Heading5Char"/>
    <w:uiPriority w:val="99"/>
    <w:qFormat/>
    <w:rsid w:val="001F18AC"/>
    <w:pPr>
      <w:keepNext/>
      <w:outlineLvl w:val="4"/>
    </w:pPr>
    <w:rPr>
      <w:sz w:val="28"/>
      <w:szCs w:val="28"/>
    </w:rPr>
  </w:style>
  <w:style w:type="paragraph" w:styleId="Heading6">
    <w:name w:val="heading 6"/>
    <w:basedOn w:val="Normal"/>
    <w:next w:val="Normal"/>
    <w:link w:val="Heading6Char"/>
    <w:uiPriority w:val="99"/>
    <w:qFormat/>
    <w:rsid w:val="001F18AC"/>
    <w:pPr>
      <w:keepNext/>
      <w:ind w:left="720" w:hanging="720"/>
      <w:outlineLvl w:val="5"/>
    </w:pPr>
    <w:rPr>
      <w:b/>
      <w:bCs/>
      <w:sz w:val="28"/>
      <w:szCs w:val="28"/>
    </w:rPr>
  </w:style>
  <w:style w:type="paragraph" w:styleId="Heading7">
    <w:name w:val="heading 7"/>
    <w:basedOn w:val="Normal"/>
    <w:next w:val="Normal"/>
    <w:link w:val="Heading7Char"/>
    <w:uiPriority w:val="99"/>
    <w:qFormat/>
    <w:rsid w:val="001F18AC"/>
    <w:pPr>
      <w:keepNext/>
      <w:ind w:left="720" w:hanging="720"/>
      <w:jc w:val="both"/>
      <w:outlineLvl w:val="6"/>
    </w:pPr>
    <w:rPr>
      <w:i/>
      <w:iCs/>
    </w:rPr>
  </w:style>
  <w:style w:type="paragraph" w:styleId="Heading8">
    <w:name w:val="heading 8"/>
    <w:basedOn w:val="Normal"/>
    <w:next w:val="Normal"/>
    <w:link w:val="Heading8Char"/>
    <w:uiPriority w:val="99"/>
    <w:qFormat/>
    <w:rsid w:val="001F18AC"/>
    <w:pPr>
      <w:keepNext/>
      <w:ind w:left="720" w:hanging="720"/>
      <w:outlineLvl w:val="7"/>
    </w:pPr>
    <w:rPr>
      <w:i/>
      <w:iCs/>
    </w:rPr>
  </w:style>
  <w:style w:type="paragraph" w:styleId="Heading9">
    <w:name w:val="heading 9"/>
    <w:basedOn w:val="Normal"/>
    <w:next w:val="Normal"/>
    <w:link w:val="Heading9Char"/>
    <w:uiPriority w:val="99"/>
    <w:qFormat/>
    <w:rsid w:val="001F18AC"/>
    <w:pPr>
      <w:keepNext/>
      <w:ind w:left="720" w:hanging="720"/>
      <w:outlineLvl w:val="8"/>
    </w:pPr>
  </w:style>
  <w:style w:type="character" w:default="1" w:styleId="DefaultParagraphFont">
    <w:name w:val="Default Paragraph Font"/>
    <w:link w:val="CharCharCharChar3"/>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DE7"/>
    <w:rPr>
      <w:rFonts w:ascii="Cambria" w:hAnsi="Cambria" w:cs="Cambria"/>
      <w:b/>
      <w:bCs/>
      <w:kern w:val="32"/>
      <w:sz w:val="32"/>
      <w:szCs w:val="32"/>
      <w:lang w:val="en-GB"/>
    </w:rPr>
  </w:style>
  <w:style w:type="character" w:customStyle="1" w:styleId="Heading2Char">
    <w:name w:val="Heading 2 Char"/>
    <w:aliases w:val="ND Heading 2 Char,Proposal Char,Heading 2 Hidden Char"/>
    <w:basedOn w:val="DefaultParagraphFont"/>
    <w:link w:val="Heading2"/>
    <w:uiPriority w:val="99"/>
    <w:semiHidden/>
    <w:locked/>
    <w:rsid w:val="00B41DE7"/>
    <w:rPr>
      <w:rFonts w:ascii="Cambria" w:hAnsi="Cambria" w:cs="Cambria"/>
      <w:b/>
      <w:bCs/>
      <w:i/>
      <w:iCs/>
      <w:sz w:val="28"/>
      <w:szCs w:val="28"/>
      <w:lang w:val="en-GB"/>
    </w:rPr>
  </w:style>
  <w:style w:type="character" w:customStyle="1" w:styleId="Heading3Char">
    <w:name w:val="Heading 3 Char"/>
    <w:basedOn w:val="DefaultParagraphFont"/>
    <w:link w:val="Heading3"/>
    <w:uiPriority w:val="99"/>
    <w:locked/>
    <w:rsid w:val="001F18AC"/>
    <w:rPr>
      <w:rFonts w:ascii="Arial" w:hAnsi="Arial" w:cs="Arial"/>
      <w:b/>
      <w:bCs/>
      <w:i/>
      <w:iCs/>
      <w:sz w:val="28"/>
      <w:szCs w:val="28"/>
      <w:lang w:val="en-GB" w:eastAsia="en-US"/>
    </w:rPr>
  </w:style>
  <w:style w:type="character" w:customStyle="1" w:styleId="Heading4Char">
    <w:name w:val="Heading 4 Char"/>
    <w:basedOn w:val="DefaultParagraphFont"/>
    <w:link w:val="Heading4"/>
    <w:uiPriority w:val="99"/>
    <w:semiHidden/>
    <w:locked/>
    <w:rsid w:val="00B41DE7"/>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B41DE7"/>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B41DE7"/>
    <w:rPr>
      <w:rFonts w:ascii="Calibri" w:hAnsi="Calibri" w:cs="Calibri"/>
      <w:b/>
      <w:bCs/>
      <w:lang w:val="en-GB"/>
    </w:rPr>
  </w:style>
  <w:style w:type="character" w:customStyle="1" w:styleId="Heading7Char">
    <w:name w:val="Heading 7 Char"/>
    <w:basedOn w:val="DefaultParagraphFont"/>
    <w:link w:val="Heading7"/>
    <w:uiPriority w:val="99"/>
    <w:semiHidden/>
    <w:locked/>
    <w:rsid w:val="00B41DE7"/>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B41DE7"/>
    <w:rPr>
      <w:rFonts w:ascii="Calibri" w:hAnsi="Calibri" w:cs="Calibri"/>
      <w:i/>
      <w:iCs/>
      <w:sz w:val="24"/>
      <w:szCs w:val="24"/>
      <w:lang w:val="en-GB"/>
    </w:rPr>
  </w:style>
  <w:style w:type="character" w:customStyle="1" w:styleId="Heading9Char">
    <w:name w:val="Heading 9 Char"/>
    <w:basedOn w:val="DefaultParagraphFont"/>
    <w:link w:val="Heading9"/>
    <w:uiPriority w:val="99"/>
    <w:semiHidden/>
    <w:locked/>
    <w:rsid w:val="00B41DE7"/>
    <w:rPr>
      <w:rFonts w:ascii="Cambria" w:hAnsi="Cambria" w:cs="Cambria"/>
      <w:lang w:val="en-GB"/>
    </w:rPr>
  </w:style>
  <w:style w:type="paragraph" w:styleId="Footer">
    <w:name w:val="footer"/>
    <w:basedOn w:val="Normal"/>
    <w:link w:val="FooterChar"/>
    <w:uiPriority w:val="99"/>
    <w:rsid w:val="001F18AC"/>
    <w:pPr>
      <w:tabs>
        <w:tab w:val="center" w:pos="4153"/>
        <w:tab w:val="right" w:pos="8306"/>
      </w:tabs>
    </w:pPr>
    <w:rPr>
      <w:lang w:val="en-US"/>
    </w:rPr>
  </w:style>
  <w:style w:type="character" w:customStyle="1" w:styleId="FooterChar">
    <w:name w:val="Footer Char"/>
    <w:basedOn w:val="DefaultParagraphFont"/>
    <w:link w:val="Footer"/>
    <w:uiPriority w:val="99"/>
    <w:semiHidden/>
    <w:locked/>
    <w:rsid w:val="00B41DE7"/>
    <w:rPr>
      <w:rFonts w:ascii="Arial" w:hAnsi="Arial" w:cs="Arial"/>
      <w:sz w:val="24"/>
      <w:szCs w:val="24"/>
      <w:lang w:val="en-GB"/>
    </w:rPr>
  </w:style>
  <w:style w:type="paragraph" w:styleId="BodyText">
    <w:name w:val="Body Text"/>
    <w:basedOn w:val="Normal"/>
    <w:link w:val="BodyTextChar"/>
    <w:uiPriority w:val="99"/>
    <w:rsid w:val="001F18AC"/>
    <w:rPr>
      <w:i/>
      <w:iCs/>
    </w:rPr>
  </w:style>
  <w:style w:type="character" w:customStyle="1" w:styleId="BodyTextChar">
    <w:name w:val="Body Text Char"/>
    <w:basedOn w:val="DefaultParagraphFont"/>
    <w:link w:val="BodyText"/>
    <w:uiPriority w:val="99"/>
    <w:semiHidden/>
    <w:locked/>
    <w:rsid w:val="00B41DE7"/>
    <w:rPr>
      <w:rFonts w:ascii="Arial" w:hAnsi="Arial" w:cs="Arial"/>
      <w:sz w:val="24"/>
      <w:szCs w:val="24"/>
      <w:lang w:val="en-GB"/>
    </w:rPr>
  </w:style>
  <w:style w:type="paragraph" w:styleId="DocumentMap">
    <w:name w:val="Document Map"/>
    <w:basedOn w:val="Normal"/>
    <w:link w:val="DocumentMapChar"/>
    <w:uiPriority w:val="99"/>
    <w:semiHidden/>
    <w:rsid w:val="001F18A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41DE7"/>
    <w:rPr>
      <w:rFonts w:cs="Times New Roman"/>
      <w:sz w:val="2"/>
      <w:szCs w:val="2"/>
      <w:lang w:val="en-GB"/>
    </w:rPr>
  </w:style>
  <w:style w:type="paragraph" w:customStyle="1" w:styleId="Style12ptJustified">
    <w:name w:val="Style 12 pt Justified"/>
    <w:basedOn w:val="Normal"/>
    <w:uiPriority w:val="99"/>
    <w:rsid w:val="001F18AC"/>
  </w:style>
  <w:style w:type="paragraph" w:customStyle="1" w:styleId="Style12ptLinespacing15lines">
    <w:name w:val="Style 12 pt Line spacing:  1.5 lines"/>
    <w:basedOn w:val="Normal"/>
    <w:uiPriority w:val="99"/>
    <w:rsid w:val="001F18AC"/>
  </w:style>
  <w:style w:type="paragraph" w:customStyle="1" w:styleId="Infotext">
    <w:name w:val="Info text"/>
    <w:basedOn w:val="Normal"/>
    <w:uiPriority w:val="99"/>
    <w:rsid w:val="001F18AC"/>
    <w:rPr>
      <w:sz w:val="28"/>
      <w:szCs w:val="28"/>
    </w:rPr>
  </w:style>
  <w:style w:type="paragraph" w:customStyle="1" w:styleId="Style12ptJustified1">
    <w:name w:val="Style 12 pt Justified1"/>
    <w:basedOn w:val="Normal"/>
    <w:uiPriority w:val="99"/>
    <w:rsid w:val="001F18AC"/>
  </w:style>
  <w:style w:type="paragraph" w:customStyle="1" w:styleId="Style12ptJustified2">
    <w:name w:val="Style 12 pt Justified2"/>
    <w:basedOn w:val="Normal"/>
    <w:uiPriority w:val="99"/>
    <w:rsid w:val="001F18AC"/>
  </w:style>
  <w:style w:type="paragraph" w:customStyle="1" w:styleId="Style12ptJustified3">
    <w:name w:val="Style 12 pt Justified3"/>
    <w:basedOn w:val="Normal"/>
    <w:uiPriority w:val="99"/>
    <w:rsid w:val="001F18AC"/>
  </w:style>
  <w:style w:type="paragraph" w:styleId="BalloonText">
    <w:name w:val="Balloon Text"/>
    <w:basedOn w:val="Normal"/>
    <w:link w:val="BalloonTextChar"/>
    <w:uiPriority w:val="99"/>
    <w:semiHidden/>
    <w:rsid w:val="001F18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DE7"/>
    <w:rPr>
      <w:rFonts w:cs="Times New Roman"/>
      <w:sz w:val="2"/>
      <w:szCs w:val="2"/>
      <w:lang w:val="en-GB"/>
    </w:rPr>
  </w:style>
  <w:style w:type="paragraph" w:customStyle="1" w:styleId="StyleJustified">
    <w:name w:val="Style Justified"/>
    <w:basedOn w:val="Normal"/>
    <w:next w:val="Normal"/>
    <w:uiPriority w:val="99"/>
    <w:rsid w:val="001F18AC"/>
  </w:style>
  <w:style w:type="paragraph" w:styleId="Header">
    <w:name w:val="header"/>
    <w:basedOn w:val="Normal"/>
    <w:link w:val="HeaderChar"/>
    <w:uiPriority w:val="99"/>
    <w:rsid w:val="001F18AC"/>
    <w:pPr>
      <w:tabs>
        <w:tab w:val="center" w:pos="4153"/>
        <w:tab w:val="right" w:pos="8306"/>
      </w:tabs>
    </w:pPr>
  </w:style>
  <w:style w:type="character" w:customStyle="1" w:styleId="HeaderChar">
    <w:name w:val="Header Char"/>
    <w:basedOn w:val="DefaultParagraphFont"/>
    <w:link w:val="Header"/>
    <w:uiPriority w:val="99"/>
    <w:locked/>
    <w:rsid w:val="005C7E13"/>
    <w:rPr>
      <w:rFonts w:ascii="Arial" w:hAnsi="Arial" w:cs="Arial"/>
      <w:sz w:val="24"/>
      <w:szCs w:val="24"/>
      <w:lang w:val="en-GB" w:eastAsia="en-US"/>
    </w:rPr>
  </w:style>
  <w:style w:type="paragraph" w:styleId="BodyText3">
    <w:name w:val="Body Text 3"/>
    <w:basedOn w:val="Normal"/>
    <w:link w:val="BodyText3Char"/>
    <w:uiPriority w:val="99"/>
    <w:rsid w:val="001F18AC"/>
    <w:pPr>
      <w:jc w:val="both"/>
    </w:pPr>
  </w:style>
  <w:style w:type="character" w:customStyle="1" w:styleId="BodyText3Char">
    <w:name w:val="Body Text 3 Char"/>
    <w:basedOn w:val="DefaultParagraphFont"/>
    <w:link w:val="BodyText3"/>
    <w:uiPriority w:val="99"/>
    <w:semiHidden/>
    <w:locked/>
    <w:rsid w:val="00B41DE7"/>
    <w:rPr>
      <w:rFonts w:ascii="Arial" w:hAnsi="Arial" w:cs="Arial"/>
      <w:sz w:val="16"/>
      <w:szCs w:val="16"/>
      <w:lang w:val="en-GB"/>
    </w:rPr>
  </w:style>
  <w:style w:type="paragraph" w:styleId="BodyTextIndent">
    <w:name w:val="Body Text Indent"/>
    <w:basedOn w:val="Normal"/>
    <w:link w:val="BodyTextIndentChar"/>
    <w:uiPriority w:val="99"/>
    <w:rsid w:val="001F18AC"/>
    <w:pPr>
      <w:ind w:left="289" w:hanging="5"/>
      <w:jc w:val="both"/>
    </w:pPr>
  </w:style>
  <w:style w:type="character" w:customStyle="1" w:styleId="BodyTextIndentChar">
    <w:name w:val="Body Text Indent Char"/>
    <w:basedOn w:val="DefaultParagraphFont"/>
    <w:link w:val="BodyTextIndent"/>
    <w:uiPriority w:val="99"/>
    <w:semiHidden/>
    <w:locked/>
    <w:rsid w:val="00B41DE7"/>
    <w:rPr>
      <w:rFonts w:ascii="Arial" w:hAnsi="Arial" w:cs="Arial"/>
      <w:sz w:val="24"/>
      <w:szCs w:val="24"/>
      <w:lang w:val="en-GB"/>
    </w:rPr>
  </w:style>
  <w:style w:type="paragraph" w:customStyle="1" w:styleId="infotext0">
    <w:name w:val="infotext"/>
    <w:basedOn w:val="Normal"/>
    <w:uiPriority w:val="99"/>
    <w:rsid w:val="001F18AC"/>
    <w:pPr>
      <w:spacing w:before="100" w:beforeAutospacing="1" w:after="100" w:afterAutospacing="1"/>
    </w:pPr>
    <w:rPr>
      <w:lang w:val="en-US"/>
    </w:rPr>
  </w:style>
  <w:style w:type="paragraph" w:customStyle="1" w:styleId="xl25">
    <w:name w:val="xl25"/>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Normal"/>
    <w:uiPriority w:val="99"/>
    <w:rsid w:val="001F18AC"/>
    <w:pPr>
      <w:pBdr>
        <w:left w:val="single" w:sz="4" w:space="0" w:color="auto"/>
        <w:right w:val="single" w:sz="4" w:space="0" w:color="auto"/>
      </w:pBdr>
      <w:spacing w:before="100" w:beforeAutospacing="1" w:after="100" w:afterAutospacing="1"/>
    </w:pPr>
    <w:rPr>
      <w:rFonts w:eastAsia="Arial Unicode MS"/>
    </w:rPr>
  </w:style>
  <w:style w:type="paragraph" w:styleId="CommentText">
    <w:name w:val="annotation text"/>
    <w:basedOn w:val="Normal"/>
    <w:link w:val="CommentTextChar"/>
    <w:uiPriority w:val="99"/>
    <w:semiHidden/>
    <w:rsid w:val="001F18AC"/>
    <w:rPr>
      <w:sz w:val="20"/>
      <w:szCs w:val="20"/>
      <w:lang w:val="en-US"/>
    </w:rPr>
  </w:style>
  <w:style w:type="character" w:customStyle="1" w:styleId="CommentTextChar">
    <w:name w:val="Comment Text Char"/>
    <w:basedOn w:val="DefaultParagraphFont"/>
    <w:link w:val="CommentText"/>
    <w:uiPriority w:val="99"/>
    <w:semiHidden/>
    <w:locked/>
    <w:rsid w:val="00033CFC"/>
    <w:rPr>
      <w:rFonts w:ascii="Arial" w:hAnsi="Arial" w:cs="Arial"/>
      <w:lang w:eastAsia="en-US"/>
    </w:rPr>
  </w:style>
  <w:style w:type="paragraph" w:styleId="CommentSubject">
    <w:name w:val="annotation subject"/>
    <w:basedOn w:val="CommentText"/>
    <w:next w:val="CommentText"/>
    <w:link w:val="CommentSubjectChar"/>
    <w:uiPriority w:val="99"/>
    <w:semiHidden/>
    <w:rsid w:val="001F18AC"/>
    <w:rPr>
      <w:b/>
      <w:bCs/>
    </w:rPr>
  </w:style>
  <w:style w:type="character" w:customStyle="1" w:styleId="CommentSubjectChar">
    <w:name w:val="Comment Subject Char"/>
    <w:basedOn w:val="CommentTextChar"/>
    <w:link w:val="CommentSubject"/>
    <w:uiPriority w:val="99"/>
    <w:semiHidden/>
    <w:locked/>
    <w:rsid w:val="00B41DE7"/>
    <w:rPr>
      <w:b/>
      <w:bCs/>
      <w:sz w:val="20"/>
      <w:szCs w:val="20"/>
      <w:lang w:val="en-GB"/>
    </w:rPr>
  </w:style>
  <w:style w:type="character" w:styleId="Hyperlink">
    <w:name w:val="Hyperlink"/>
    <w:basedOn w:val="DefaultParagraphFont"/>
    <w:uiPriority w:val="99"/>
    <w:rsid w:val="001F18AC"/>
    <w:rPr>
      <w:rFonts w:ascii="Arial" w:hAnsi="Arial" w:cs="Arial"/>
      <w:color w:val="0000FF"/>
      <w:sz w:val="24"/>
      <w:szCs w:val="24"/>
      <w:u w:val="single"/>
      <w:lang w:val="en-GB" w:eastAsia="en-US"/>
    </w:rPr>
  </w:style>
  <w:style w:type="paragraph" w:styleId="BodyText2">
    <w:name w:val="Body Text 2"/>
    <w:basedOn w:val="Normal"/>
    <w:link w:val="BodyText2Char"/>
    <w:uiPriority w:val="99"/>
    <w:rsid w:val="001F18AC"/>
    <w:pPr>
      <w:spacing w:before="90"/>
      <w:jc w:val="both"/>
    </w:pPr>
    <w:rPr>
      <w:sz w:val="20"/>
      <w:szCs w:val="20"/>
    </w:rPr>
  </w:style>
  <w:style w:type="character" w:customStyle="1" w:styleId="BodyText2Char">
    <w:name w:val="Body Text 2 Char"/>
    <w:basedOn w:val="DefaultParagraphFont"/>
    <w:link w:val="BodyText2"/>
    <w:uiPriority w:val="99"/>
    <w:semiHidden/>
    <w:locked/>
    <w:rsid w:val="00B41DE7"/>
    <w:rPr>
      <w:rFonts w:ascii="Arial" w:hAnsi="Arial" w:cs="Arial"/>
      <w:sz w:val="24"/>
      <w:szCs w:val="24"/>
      <w:lang w:val="en-GB"/>
    </w:rPr>
  </w:style>
  <w:style w:type="paragraph" w:styleId="BodyTextIndent3">
    <w:name w:val="Body Text Indent 3"/>
    <w:basedOn w:val="Normal"/>
    <w:link w:val="BodyTextIndent3Char"/>
    <w:uiPriority w:val="99"/>
    <w:rsid w:val="001F18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41DE7"/>
    <w:rPr>
      <w:rFonts w:ascii="Arial" w:hAnsi="Arial" w:cs="Arial"/>
      <w:sz w:val="16"/>
      <w:szCs w:val="16"/>
      <w:lang w:val="en-GB"/>
    </w:rPr>
  </w:style>
  <w:style w:type="paragraph" w:styleId="BodyTextIndent2">
    <w:name w:val="Body Text Indent 2"/>
    <w:basedOn w:val="Normal"/>
    <w:link w:val="BodyTextIndent2Char"/>
    <w:uiPriority w:val="99"/>
    <w:rsid w:val="001F18AC"/>
    <w:pPr>
      <w:tabs>
        <w:tab w:val="num" w:pos="374"/>
      </w:tabs>
      <w:ind w:left="374" w:hanging="374"/>
      <w:jc w:val="both"/>
    </w:pPr>
  </w:style>
  <w:style w:type="character" w:customStyle="1" w:styleId="BodyTextIndent2Char">
    <w:name w:val="Body Text Indent 2 Char"/>
    <w:basedOn w:val="DefaultParagraphFont"/>
    <w:link w:val="BodyTextIndent2"/>
    <w:uiPriority w:val="99"/>
    <w:semiHidden/>
    <w:locked/>
    <w:rsid w:val="00B41DE7"/>
    <w:rPr>
      <w:rFonts w:ascii="Arial" w:hAnsi="Arial" w:cs="Arial"/>
      <w:sz w:val="24"/>
      <w:szCs w:val="24"/>
      <w:lang w:val="en-GB"/>
    </w:rPr>
  </w:style>
  <w:style w:type="character" w:styleId="CommentReference">
    <w:name w:val="annotation reference"/>
    <w:basedOn w:val="DefaultParagraphFont"/>
    <w:uiPriority w:val="99"/>
    <w:semiHidden/>
    <w:rsid w:val="001F18AC"/>
    <w:rPr>
      <w:rFonts w:ascii="Arial" w:hAnsi="Arial" w:cs="Arial"/>
      <w:sz w:val="16"/>
      <w:szCs w:val="16"/>
      <w:lang w:val="en-GB" w:eastAsia="en-US"/>
    </w:rPr>
  </w:style>
  <w:style w:type="paragraph" w:customStyle="1" w:styleId="xl32">
    <w:name w:val="xl32"/>
    <w:basedOn w:val="Normal"/>
    <w:uiPriority w:val="99"/>
    <w:rsid w:val="001F18AC"/>
    <w:pPr>
      <w:pBdr>
        <w:left w:val="single" w:sz="4" w:space="0" w:color="auto"/>
      </w:pBdr>
      <w:spacing w:before="100" w:beforeAutospacing="1" w:after="100" w:afterAutospacing="1"/>
    </w:pPr>
    <w:rPr>
      <w:rFonts w:eastAsia="Arial Unicode MS"/>
    </w:rPr>
  </w:style>
  <w:style w:type="paragraph" w:styleId="BlockText">
    <w:name w:val="Block Text"/>
    <w:basedOn w:val="Normal"/>
    <w:uiPriority w:val="99"/>
    <w:rsid w:val="001F18AC"/>
    <w:pPr>
      <w:ind w:left="567" w:right="141" w:hanging="567"/>
      <w:jc w:val="both"/>
    </w:pPr>
  </w:style>
  <w:style w:type="paragraph" w:customStyle="1" w:styleId="bullet4">
    <w:name w:val="bullet4"/>
    <w:basedOn w:val="Normal"/>
    <w:uiPriority w:val="99"/>
    <w:rsid w:val="001F18AC"/>
    <w:pPr>
      <w:numPr>
        <w:numId w:val="1"/>
      </w:numPr>
    </w:pPr>
  </w:style>
  <w:style w:type="character" w:styleId="PageNumber">
    <w:name w:val="page number"/>
    <w:basedOn w:val="DefaultParagraphFont"/>
    <w:uiPriority w:val="99"/>
    <w:rsid w:val="001F18AC"/>
    <w:rPr>
      <w:rFonts w:ascii="Arial" w:hAnsi="Arial" w:cs="Arial"/>
      <w:sz w:val="24"/>
      <w:szCs w:val="24"/>
      <w:lang w:val="en-GB" w:eastAsia="en-US"/>
    </w:rPr>
  </w:style>
  <w:style w:type="paragraph" w:customStyle="1" w:styleId="CharChar1Char">
    <w:name w:val="Char Char1 Char"/>
    <w:basedOn w:val="Normal"/>
    <w:uiPriority w:val="99"/>
    <w:rsid w:val="001F18AC"/>
    <w:pPr>
      <w:spacing w:after="160" w:line="240" w:lineRule="exact"/>
    </w:pPr>
    <w:rPr>
      <w:rFonts w:ascii="Tahoma" w:hAnsi="Tahoma" w:cs="Tahoma"/>
      <w:sz w:val="20"/>
      <w:szCs w:val="20"/>
      <w:lang w:eastAsia="en-GB"/>
    </w:rPr>
  </w:style>
  <w:style w:type="paragraph" w:customStyle="1" w:styleId="CharChar">
    <w:name w:val="Char Char"/>
    <w:basedOn w:val="Normal"/>
    <w:uiPriority w:val="99"/>
    <w:rsid w:val="001F18AC"/>
  </w:style>
  <w:style w:type="paragraph" w:customStyle="1" w:styleId="NormalArial">
    <w:name w:val="Normal + Arial"/>
    <w:basedOn w:val="Normal"/>
    <w:uiPriority w:val="99"/>
    <w:rsid w:val="001F18AC"/>
    <w:pPr>
      <w:adjustRightInd w:val="0"/>
    </w:pPr>
    <w:rPr>
      <w:lang w:eastAsia="en-GB"/>
    </w:rPr>
  </w:style>
  <w:style w:type="paragraph" w:customStyle="1" w:styleId="Style1">
    <w:name w:val="Style1"/>
    <w:basedOn w:val="Normal"/>
    <w:uiPriority w:val="99"/>
    <w:rsid w:val="001F18AC"/>
    <w:pPr>
      <w:numPr>
        <w:numId w:val="2"/>
      </w:numPr>
      <w:tabs>
        <w:tab w:val="clear" w:pos="786"/>
      </w:tabs>
      <w:spacing w:before="120" w:after="120"/>
      <w:ind w:left="364"/>
    </w:pPr>
  </w:style>
  <w:style w:type="character" w:customStyle="1" w:styleId="PlainTextChar">
    <w:name w:val="Plain Text Char"/>
    <w:link w:val="PlainText"/>
    <w:uiPriority w:val="99"/>
    <w:semiHidden/>
    <w:locked/>
    <w:rsid w:val="00464EC7"/>
    <w:rPr>
      <w:rFonts w:ascii="Arial" w:hAnsi="Arial" w:cs="Arial"/>
      <w:sz w:val="21"/>
      <w:szCs w:val="21"/>
      <w:lang w:val="en-GB" w:eastAsia="en-GB"/>
    </w:rPr>
  </w:style>
  <w:style w:type="paragraph" w:customStyle="1" w:styleId="font5">
    <w:name w:val="font5"/>
    <w:basedOn w:val="Normal"/>
    <w:uiPriority w:val="99"/>
    <w:rsid w:val="001F18AC"/>
    <w:pPr>
      <w:spacing w:before="100" w:beforeAutospacing="1" w:after="100" w:afterAutospacing="1"/>
    </w:pPr>
    <w:rPr>
      <w:rFonts w:eastAsia="Arial Unicode MS"/>
      <w:sz w:val="16"/>
      <w:szCs w:val="16"/>
    </w:rPr>
  </w:style>
  <w:style w:type="paragraph" w:customStyle="1" w:styleId="font6">
    <w:name w:val="font6"/>
    <w:basedOn w:val="Normal"/>
    <w:uiPriority w:val="99"/>
    <w:rsid w:val="001F18AC"/>
    <w:pPr>
      <w:spacing w:before="100" w:beforeAutospacing="1" w:after="100" w:afterAutospacing="1"/>
    </w:pPr>
    <w:rPr>
      <w:rFonts w:eastAsia="Arial Unicode MS"/>
      <w:b/>
      <w:bCs/>
      <w:sz w:val="16"/>
      <w:szCs w:val="16"/>
    </w:rPr>
  </w:style>
  <w:style w:type="paragraph" w:customStyle="1" w:styleId="xl73">
    <w:name w:val="xl73"/>
    <w:basedOn w:val="Normal"/>
    <w:uiPriority w:val="99"/>
    <w:rsid w:val="001F18AC"/>
    <w:pPr>
      <w:spacing w:before="100" w:beforeAutospacing="1" w:after="100" w:afterAutospacing="1"/>
    </w:pPr>
    <w:rPr>
      <w:rFonts w:eastAsia="Arial Unicode MS"/>
      <w:sz w:val="16"/>
      <w:szCs w:val="16"/>
    </w:rPr>
  </w:style>
  <w:style w:type="paragraph" w:customStyle="1" w:styleId="xl74">
    <w:name w:val="xl74"/>
    <w:basedOn w:val="Normal"/>
    <w:uiPriority w:val="99"/>
    <w:rsid w:val="001F18AC"/>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sz w:val="16"/>
      <w:szCs w:val="16"/>
    </w:rPr>
  </w:style>
  <w:style w:type="paragraph" w:customStyle="1" w:styleId="xl75">
    <w:name w:val="xl75"/>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76">
    <w:name w:val="xl76"/>
    <w:basedOn w:val="Normal"/>
    <w:uiPriority w:val="99"/>
    <w:rsid w:val="001F18AC"/>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77">
    <w:name w:val="xl77"/>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78">
    <w:name w:val="xl78"/>
    <w:basedOn w:val="Normal"/>
    <w:uiPriority w:val="99"/>
    <w:rsid w:val="001F18AC"/>
    <w:pPr>
      <w:pBdr>
        <w:left w:val="single" w:sz="4" w:space="0" w:color="auto"/>
        <w:bottom w:val="single" w:sz="4" w:space="0" w:color="auto"/>
      </w:pBdr>
      <w:spacing w:before="100" w:beforeAutospacing="1" w:after="100" w:afterAutospacing="1"/>
      <w:jc w:val="both"/>
      <w:textAlignment w:val="top"/>
    </w:pPr>
    <w:rPr>
      <w:rFonts w:eastAsia="Arial Unicode MS"/>
      <w:b/>
      <w:bCs/>
      <w:sz w:val="16"/>
      <w:szCs w:val="16"/>
    </w:rPr>
  </w:style>
  <w:style w:type="paragraph" w:customStyle="1" w:styleId="xl79">
    <w:name w:val="xl79"/>
    <w:basedOn w:val="Normal"/>
    <w:uiPriority w:val="99"/>
    <w:rsid w:val="001F18AC"/>
    <w:pPr>
      <w:pBdr>
        <w:left w:val="single" w:sz="4" w:space="0" w:color="auto"/>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80">
    <w:name w:val="xl80"/>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81">
    <w:name w:val="xl81"/>
    <w:basedOn w:val="Normal"/>
    <w:uiPriority w:val="99"/>
    <w:rsid w:val="001F18AC"/>
    <w:pPr>
      <w:pBdr>
        <w:left w:val="single" w:sz="4" w:space="0" w:color="auto"/>
        <w:bottom w:val="single" w:sz="4" w:space="0" w:color="auto"/>
      </w:pBdr>
      <w:spacing w:before="100" w:beforeAutospacing="1" w:after="100" w:afterAutospacing="1"/>
      <w:jc w:val="both"/>
      <w:textAlignment w:val="top"/>
    </w:pPr>
    <w:rPr>
      <w:rFonts w:eastAsia="Arial Unicode MS"/>
      <w:sz w:val="16"/>
      <w:szCs w:val="16"/>
    </w:rPr>
  </w:style>
  <w:style w:type="paragraph" w:customStyle="1" w:styleId="xl82">
    <w:name w:val="xl82"/>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83">
    <w:name w:val="xl83"/>
    <w:basedOn w:val="Normal"/>
    <w:uiPriority w:val="99"/>
    <w:rsid w:val="001F18AC"/>
    <w:pPr>
      <w:pBdr>
        <w:left w:val="single" w:sz="4" w:space="0" w:color="auto"/>
      </w:pBdr>
      <w:spacing w:before="100" w:beforeAutospacing="1" w:after="100" w:afterAutospacing="1"/>
      <w:jc w:val="both"/>
      <w:textAlignment w:val="top"/>
    </w:pPr>
    <w:rPr>
      <w:rFonts w:eastAsia="Arial Unicode MS"/>
      <w:sz w:val="16"/>
      <w:szCs w:val="16"/>
    </w:rPr>
  </w:style>
  <w:style w:type="paragraph" w:customStyle="1" w:styleId="xl84">
    <w:name w:val="xl84"/>
    <w:basedOn w:val="Normal"/>
    <w:uiPriority w:val="99"/>
    <w:rsid w:val="001F18AC"/>
    <w:pPr>
      <w:pBdr>
        <w:left w:val="single" w:sz="4" w:space="0" w:color="auto"/>
      </w:pBdr>
      <w:spacing w:before="100" w:beforeAutospacing="1" w:after="100" w:afterAutospacing="1"/>
      <w:jc w:val="right"/>
      <w:textAlignment w:val="top"/>
    </w:pPr>
    <w:rPr>
      <w:rFonts w:eastAsia="Arial Unicode MS"/>
      <w:sz w:val="16"/>
      <w:szCs w:val="16"/>
    </w:rPr>
  </w:style>
  <w:style w:type="paragraph" w:customStyle="1" w:styleId="xl85">
    <w:name w:val="xl85"/>
    <w:basedOn w:val="Normal"/>
    <w:uiPriority w:val="99"/>
    <w:rsid w:val="001F18AC"/>
    <w:pPr>
      <w:pBdr>
        <w:top w:val="single" w:sz="4" w:space="0" w:color="auto"/>
        <w:left w:val="single" w:sz="4" w:space="0" w:color="auto"/>
        <w:bottom w:val="single" w:sz="4" w:space="0" w:color="auto"/>
      </w:pBdr>
      <w:shd w:val="clear" w:color="auto" w:fill="969696"/>
      <w:spacing w:before="100" w:beforeAutospacing="1" w:after="100" w:afterAutospacing="1"/>
      <w:textAlignment w:val="top"/>
    </w:pPr>
    <w:rPr>
      <w:rFonts w:eastAsia="Arial Unicode MS"/>
      <w:b/>
      <w:bCs/>
      <w:sz w:val="16"/>
      <w:szCs w:val="16"/>
    </w:rPr>
  </w:style>
  <w:style w:type="paragraph" w:customStyle="1" w:styleId="xl86">
    <w:name w:val="xl86"/>
    <w:basedOn w:val="Normal"/>
    <w:uiPriority w:val="99"/>
    <w:rsid w:val="001F18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87">
    <w:name w:val="xl87"/>
    <w:basedOn w:val="Normal"/>
    <w:uiPriority w:val="99"/>
    <w:rsid w:val="001F18AC"/>
    <w:pPr>
      <w:pBdr>
        <w:top w:val="single" w:sz="4" w:space="0" w:color="auto"/>
        <w:left w:val="single" w:sz="4" w:space="0" w:color="auto"/>
        <w:bottom w:val="single" w:sz="8" w:space="0" w:color="auto"/>
      </w:pBdr>
      <w:spacing w:before="100" w:beforeAutospacing="1" w:after="100" w:afterAutospacing="1"/>
      <w:jc w:val="right"/>
      <w:textAlignment w:val="top"/>
    </w:pPr>
    <w:rPr>
      <w:rFonts w:eastAsia="Arial Unicode MS"/>
      <w:b/>
      <w:bCs/>
      <w:sz w:val="16"/>
      <w:szCs w:val="16"/>
    </w:rPr>
  </w:style>
  <w:style w:type="paragraph" w:customStyle="1" w:styleId="xl88">
    <w:name w:val="xl88"/>
    <w:basedOn w:val="Normal"/>
    <w:uiPriority w:val="99"/>
    <w:rsid w:val="001F18AC"/>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b/>
      <w:bCs/>
      <w:sz w:val="16"/>
      <w:szCs w:val="16"/>
    </w:rPr>
  </w:style>
  <w:style w:type="paragraph" w:customStyle="1" w:styleId="xl89">
    <w:name w:val="xl89"/>
    <w:basedOn w:val="Normal"/>
    <w:uiPriority w:val="99"/>
    <w:rsid w:val="001F18AC"/>
    <w:pPr>
      <w:pBdr>
        <w:left w:val="single" w:sz="4" w:space="0" w:color="auto"/>
        <w:bottom w:val="single" w:sz="4" w:space="0" w:color="auto"/>
      </w:pBdr>
      <w:spacing w:before="100" w:beforeAutospacing="1" w:after="100" w:afterAutospacing="1"/>
      <w:textAlignment w:val="top"/>
    </w:pPr>
    <w:rPr>
      <w:rFonts w:eastAsia="Arial Unicode MS"/>
      <w:sz w:val="16"/>
      <w:szCs w:val="16"/>
    </w:rPr>
  </w:style>
  <w:style w:type="paragraph" w:customStyle="1" w:styleId="xl90">
    <w:name w:val="xl90"/>
    <w:basedOn w:val="Normal"/>
    <w:uiPriority w:val="99"/>
    <w:rsid w:val="001F18AC"/>
    <w:pPr>
      <w:pBdr>
        <w:left w:val="single" w:sz="4" w:space="0" w:color="auto"/>
        <w:bottom w:val="single" w:sz="4" w:space="0" w:color="auto"/>
      </w:pBdr>
      <w:spacing w:before="100" w:beforeAutospacing="1" w:after="100" w:afterAutospacing="1"/>
      <w:textAlignment w:val="top"/>
    </w:pPr>
    <w:rPr>
      <w:rFonts w:eastAsia="Arial Unicode MS"/>
      <w:sz w:val="16"/>
      <w:szCs w:val="16"/>
    </w:rPr>
  </w:style>
  <w:style w:type="paragraph" w:customStyle="1" w:styleId="xl91">
    <w:name w:val="xl91"/>
    <w:basedOn w:val="Normal"/>
    <w:uiPriority w:val="99"/>
    <w:rsid w:val="001F18AC"/>
    <w:pPr>
      <w:pBdr>
        <w:left w:val="single" w:sz="4" w:space="0" w:color="auto"/>
        <w:bottom w:val="single" w:sz="4" w:space="0" w:color="auto"/>
      </w:pBdr>
      <w:spacing w:before="100" w:beforeAutospacing="1" w:after="100" w:afterAutospacing="1"/>
      <w:jc w:val="both"/>
      <w:textAlignment w:val="top"/>
    </w:pPr>
    <w:rPr>
      <w:rFonts w:eastAsia="Arial Unicode MS"/>
      <w:b/>
      <w:bCs/>
      <w:sz w:val="16"/>
      <w:szCs w:val="16"/>
    </w:rPr>
  </w:style>
  <w:style w:type="paragraph" w:customStyle="1" w:styleId="xl92">
    <w:name w:val="xl92"/>
    <w:basedOn w:val="Normal"/>
    <w:uiPriority w:val="99"/>
    <w:rsid w:val="001F18AC"/>
    <w:pPr>
      <w:pBdr>
        <w:left w:val="single" w:sz="4" w:space="0" w:color="auto"/>
        <w:bottom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93">
    <w:name w:val="xl93"/>
    <w:basedOn w:val="Normal"/>
    <w:uiPriority w:val="99"/>
    <w:rsid w:val="001F18AC"/>
    <w:pPr>
      <w:pBdr>
        <w:top w:val="single" w:sz="4" w:space="0" w:color="auto"/>
        <w:left w:val="single" w:sz="4" w:space="0" w:color="auto"/>
        <w:bottom w:val="single" w:sz="4" w:space="0" w:color="auto"/>
      </w:pBdr>
      <w:spacing w:before="100" w:beforeAutospacing="1" w:after="100" w:afterAutospacing="1"/>
      <w:jc w:val="both"/>
      <w:textAlignment w:val="top"/>
    </w:pPr>
    <w:rPr>
      <w:rFonts w:eastAsia="Arial Unicode MS"/>
      <w:sz w:val="16"/>
      <w:szCs w:val="16"/>
    </w:rPr>
  </w:style>
  <w:style w:type="paragraph" w:customStyle="1" w:styleId="xl94">
    <w:name w:val="xl94"/>
    <w:basedOn w:val="Normal"/>
    <w:uiPriority w:val="99"/>
    <w:rsid w:val="001F18AC"/>
    <w:pPr>
      <w:pBdr>
        <w:top w:val="single" w:sz="4" w:space="0" w:color="auto"/>
        <w:left w:val="single" w:sz="4" w:space="0" w:color="auto"/>
        <w:bottom w:val="single" w:sz="4" w:space="0" w:color="auto"/>
      </w:pBdr>
      <w:shd w:val="clear" w:color="auto" w:fill="969696"/>
      <w:spacing w:before="100" w:beforeAutospacing="1" w:after="100" w:afterAutospacing="1"/>
      <w:jc w:val="both"/>
      <w:textAlignment w:val="top"/>
    </w:pPr>
    <w:rPr>
      <w:rFonts w:eastAsia="Arial Unicode MS"/>
      <w:b/>
      <w:bCs/>
      <w:sz w:val="16"/>
      <w:szCs w:val="16"/>
    </w:rPr>
  </w:style>
  <w:style w:type="paragraph" w:customStyle="1" w:styleId="xl95">
    <w:name w:val="xl95"/>
    <w:basedOn w:val="Normal"/>
    <w:uiPriority w:val="99"/>
    <w:rsid w:val="001F18A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both"/>
      <w:textAlignment w:val="top"/>
    </w:pPr>
    <w:rPr>
      <w:rFonts w:eastAsia="Arial Unicode MS"/>
      <w:b/>
      <w:bCs/>
      <w:sz w:val="16"/>
      <w:szCs w:val="16"/>
    </w:rPr>
  </w:style>
  <w:style w:type="paragraph" w:customStyle="1" w:styleId="xl96">
    <w:name w:val="xl96"/>
    <w:basedOn w:val="Normal"/>
    <w:uiPriority w:val="99"/>
    <w:rsid w:val="001F18AC"/>
    <w:pPr>
      <w:spacing w:before="100" w:beforeAutospacing="1" w:after="100" w:afterAutospacing="1"/>
      <w:jc w:val="right"/>
    </w:pPr>
    <w:rPr>
      <w:rFonts w:eastAsia="Arial Unicode MS"/>
      <w:sz w:val="16"/>
      <w:szCs w:val="16"/>
    </w:rPr>
  </w:style>
  <w:style w:type="paragraph" w:customStyle="1" w:styleId="xl97">
    <w:name w:val="xl97"/>
    <w:basedOn w:val="Normal"/>
    <w:uiPriority w:val="99"/>
    <w:rsid w:val="001F18AC"/>
    <w:pPr>
      <w:pBdr>
        <w:left w:val="single" w:sz="4" w:space="0" w:color="auto"/>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98">
    <w:name w:val="xl98"/>
    <w:basedOn w:val="Normal"/>
    <w:uiPriority w:val="99"/>
    <w:rsid w:val="001F18AC"/>
    <w:pPr>
      <w:pBdr>
        <w:left w:val="single" w:sz="4" w:space="0" w:color="auto"/>
      </w:pBdr>
      <w:spacing w:before="100" w:beforeAutospacing="1" w:after="100" w:afterAutospacing="1"/>
      <w:jc w:val="right"/>
      <w:textAlignment w:val="top"/>
    </w:pPr>
    <w:rPr>
      <w:rFonts w:eastAsia="Arial Unicode MS"/>
      <w:sz w:val="16"/>
      <w:szCs w:val="16"/>
    </w:rPr>
  </w:style>
  <w:style w:type="paragraph" w:customStyle="1" w:styleId="xl99">
    <w:name w:val="xl99"/>
    <w:basedOn w:val="Normal"/>
    <w:uiPriority w:val="99"/>
    <w:rsid w:val="001F18AC"/>
    <w:pPr>
      <w:pBdr>
        <w:left w:val="single" w:sz="4" w:space="0" w:color="auto"/>
        <w:bottom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100">
    <w:name w:val="xl100"/>
    <w:basedOn w:val="Normal"/>
    <w:uiPriority w:val="99"/>
    <w:rsid w:val="001F18AC"/>
    <w:pPr>
      <w:pBdr>
        <w:top w:val="single" w:sz="4" w:space="0" w:color="auto"/>
        <w:left w:val="single" w:sz="4" w:space="0" w:color="auto"/>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101">
    <w:name w:val="xl101"/>
    <w:basedOn w:val="Normal"/>
    <w:uiPriority w:val="99"/>
    <w:rsid w:val="001F18AC"/>
    <w:pPr>
      <w:pBdr>
        <w:left w:val="single" w:sz="8" w:space="0" w:color="auto"/>
        <w:right w:val="single" w:sz="8" w:space="0" w:color="auto"/>
      </w:pBdr>
      <w:spacing w:before="100" w:beforeAutospacing="1" w:after="100" w:afterAutospacing="1"/>
      <w:textAlignment w:val="top"/>
    </w:pPr>
    <w:rPr>
      <w:rFonts w:eastAsia="Arial Unicode MS"/>
      <w:sz w:val="16"/>
      <w:szCs w:val="16"/>
    </w:rPr>
  </w:style>
  <w:style w:type="paragraph" w:customStyle="1" w:styleId="xl102">
    <w:name w:val="xl102"/>
    <w:basedOn w:val="Normal"/>
    <w:uiPriority w:val="99"/>
    <w:rsid w:val="001F18AC"/>
    <w:pPr>
      <w:pBdr>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103">
    <w:name w:val="xl103"/>
    <w:basedOn w:val="Normal"/>
    <w:uiPriority w:val="99"/>
    <w:rsid w:val="001F18AC"/>
    <w:pPr>
      <w:spacing w:before="100" w:beforeAutospacing="1" w:after="100" w:afterAutospacing="1"/>
      <w:jc w:val="right"/>
      <w:textAlignment w:val="top"/>
    </w:pPr>
    <w:rPr>
      <w:rFonts w:eastAsia="Arial Unicode MS"/>
      <w:b/>
      <w:bCs/>
      <w:sz w:val="16"/>
      <w:szCs w:val="16"/>
    </w:rPr>
  </w:style>
  <w:style w:type="paragraph" w:customStyle="1" w:styleId="xl104">
    <w:name w:val="xl104"/>
    <w:basedOn w:val="Normal"/>
    <w:uiPriority w:val="99"/>
    <w:rsid w:val="001F18AC"/>
    <w:pPr>
      <w:spacing w:before="100" w:beforeAutospacing="1" w:after="100" w:afterAutospacing="1"/>
      <w:jc w:val="both"/>
      <w:textAlignment w:val="top"/>
    </w:pPr>
    <w:rPr>
      <w:rFonts w:eastAsia="Arial Unicode MS"/>
      <w:b/>
      <w:bCs/>
      <w:sz w:val="16"/>
      <w:szCs w:val="16"/>
    </w:rPr>
  </w:style>
  <w:style w:type="paragraph" w:customStyle="1" w:styleId="xl105">
    <w:name w:val="xl105"/>
    <w:basedOn w:val="Normal"/>
    <w:uiPriority w:val="99"/>
    <w:rsid w:val="001F18AC"/>
    <w:pPr>
      <w:pBdr>
        <w:left w:val="single" w:sz="8" w:space="0" w:color="auto"/>
        <w:right w:val="single" w:sz="8" w:space="0" w:color="auto"/>
      </w:pBdr>
      <w:spacing w:before="100" w:beforeAutospacing="1" w:after="100" w:afterAutospacing="1"/>
      <w:textAlignment w:val="top"/>
    </w:pPr>
    <w:rPr>
      <w:rFonts w:eastAsia="Arial Unicode MS"/>
      <w:b/>
      <w:bCs/>
      <w:sz w:val="16"/>
      <w:szCs w:val="16"/>
    </w:rPr>
  </w:style>
  <w:style w:type="paragraph" w:customStyle="1" w:styleId="xl106">
    <w:name w:val="xl106"/>
    <w:basedOn w:val="Normal"/>
    <w:uiPriority w:val="99"/>
    <w:rsid w:val="001F18A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16"/>
      <w:szCs w:val="16"/>
    </w:rPr>
  </w:style>
  <w:style w:type="paragraph" w:customStyle="1" w:styleId="xl107">
    <w:name w:val="xl107"/>
    <w:basedOn w:val="Normal"/>
    <w:uiPriority w:val="99"/>
    <w:rsid w:val="001F18AC"/>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eastAsia="Arial Unicode MS"/>
      <w:sz w:val="16"/>
      <w:szCs w:val="16"/>
    </w:rPr>
  </w:style>
  <w:style w:type="paragraph" w:customStyle="1" w:styleId="xl108">
    <w:name w:val="xl108"/>
    <w:basedOn w:val="Normal"/>
    <w:uiPriority w:val="99"/>
    <w:rsid w:val="001F18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Arial Unicode MS"/>
      <w:b/>
      <w:bCs/>
      <w:sz w:val="16"/>
      <w:szCs w:val="16"/>
    </w:rPr>
  </w:style>
  <w:style w:type="paragraph" w:customStyle="1" w:styleId="xl109">
    <w:name w:val="xl109"/>
    <w:basedOn w:val="Normal"/>
    <w:uiPriority w:val="99"/>
    <w:rsid w:val="001F18AC"/>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sz w:val="16"/>
      <w:szCs w:val="16"/>
    </w:rPr>
  </w:style>
  <w:style w:type="paragraph" w:customStyle="1" w:styleId="xl110">
    <w:name w:val="xl110"/>
    <w:basedOn w:val="Normal"/>
    <w:uiPriority w:val="99"/>
    <w:rsid w:val="001F18A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rFonts w:eastAsia="Arial Unicode MS"/>
      <w:b/>
      <w:bCs/>
      <w:sz w:val="16"/>
      <w:szCs w:val="16"/>
    </w:rPr>
  </w:style>
  <w:style w:type="paragraph" w:customStyle="1" w:styleId="xl111">
    <w:name w:val="xl111"/>
    <w:basedOn w:val="Normal"/>
    <w:uiPriority w:val="99"/>
    <w:rsid w:val="001F18AC"/>
    <w:pPr>
      <w:pBdr>
        <w:top w:val="single" w:sz="4" w:space="0" w:color="auto"/>
        <w:left w:val="single" w:sz="4" w:space="0" w:color="auto"/>
        <w:bottom w:val="single" w:sz="4" w:space="0" w:color="auto"/>
      </w:pBdr>
      <w:shd w:val="clear" w:color="auto" w:fill="969696"/>
      <w:spacing w:before="100" w:beforeAutospacing="1" w:after="100" w:afterAutospacing="1"/>
      <w:textAlignment w:val="center"/>
    </w:pPr>
    <w:rPr>
      <w:rFonts w:eastAsia="Arial Unicode MS"/>
      <w:b/>
      <w:bCs/>
      <w:sz w:val="16"/>
      <w:szCs w:val="16"/>
    </w:rPr>
  </w:style>
  <w:style w:type="paragraph" w:customStyle="1" w:styleId="xl112">
    <w:name w:val="xl112"/>
    <w:basedOn w:val="Normal"/>
    <w:uiPriority w:val="99"/>
    <w:rsid w:val="001F18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Arial Unicode MS"/>
      <w:b/>
      <w:bCs/>
      <w:sz w:val="16"/>
      <w:szCs w:val="16"/>
    </w:rPr>
  </w:style>
  <w:style w:type="paragraph" w:customStyle="1" w:styleId="xl113">
    <w:name w:val="xl113"/>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16"/>
      <w:szCs w:val="16"/>
    </w:rPr>
  </w:style>
  <w:style w:type="paragraph" w:customStyle="1" w:styleId="xl114">
    <w:name w:val="xl114"/>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16"/>
      <w:szCs w:val="16"/>
    </w:rPr>
  </w:style>
  <w:style w:type="paragraph" w:customStyle="1" w:styleId="xl115">
    <w:name w:val="xl115"/>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6"/>
      <w:szCs w:val="16"/>
    </w:rPr>
  </w:style>
  <w:style w:type="paragraph" w:customStyle="1" w:styleId="xl116">
    <w:name w:val="xl116"/>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6"/>
      <w:szCs w:val="16"/>
    </w:rPr>
  </w:style>
  <w:style w:type="paragraph" w:customStyle="1" w:styleId="font7">
    <w:name w:val="font7"/>
    <w:basedOn w:val="Normal"/>
    <w:uiPriority w:val="99"/>
    <w:rsid w:val="001F18AC"/>
    <w:pPr>
      <w:spacing w:before="100" w:beforeAutospacing="1" w:after="100" w:afterAutospacing="1"/>
    </w:pPr>
    <w:rPr>
      <w:rFonts w:eastAsia="Arial Unicode MS"/>
      <w:sz w:val="16"/>
      <w:szCs w:val="16"/>
    </w:rPr>
  </w:style>
  <w:style w:type="paragraph" w:customStyle="1" w:styleId="xl24">
    <w:name w:val="xl24"/>
    <w:basedOn w:val="Normal"/>
    <w:uiPriority w:val="99"/>
    <w:rsid w:val="001F18AC"/>
    <w:pPr>
      <w:spacing w:before="100" w:beforeAutospacing="1" w:after="100" w:afterAutospacing="1"/>
      <w:textAlignment w:val="top"/>
    </w:pPr>
    <w:rPr>
      <w:rFonts w:eastAsia="Arial Unicode MS"/>
    </w:rPr>
  </w:style>
  <w:style w:type="paragraph" w:customStyle="1" w:styleId="xl26">
    <w:name w:val="xl26"/>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28">
    <w:name w:val="xl28"/>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29">
    <w:name w:val="xl29"/>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0">
    <w:name w:val="xl30"/>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3">
    <w:name w:val="xl33"/>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4">
    <w:name w:val="xl34"/>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uiPriority w:val="99"/>
    <w:rsid w:val="001F18AC"/>
    <w:pPr>
      <w:pBdr>
        <w:right w:val="single" w:sz="4" w:space="0" w:color="auto"/>
      </w:pBdr>
      <w:spacing w:before="100" w:beforeAutospacing="1" w:after="100" w:afterAutospacing="1"/>
      <w:textAlignment w:val="top"/>
    </w:pPr>
    <w:rPr>
      <w:rFonts w:eastAsia="Arial Unicode MS"/>
    </w:rPr>
  </w:style>
  <w:style w:type="paragraph" w:customStyle="1" w:styleId="xl38">
    <w:name w:val="xl38"/>
    <w:basedOn w:val="Normal"/>
    <w:uiPriority w:val="99"/>
    <w:rsid w:val="001F18AC"/>
    <w:pPr>
      <w:pBdr>
        <w:right w:val="single" w:sz="4" w:space="0" w:color="auto"/>
      </w:pBdr>
      <w:spacing w:before="100" w:beforeAutospacing="1" w:after="100" w:afterAutospacing="1"/>
      <w:textAlignment w:val="top"/>
    </w:pPr>
    <w:rPr>
      <w:rFonts w:eastAsia="Arial Unicode MS"/>
    </w:rPr>
  </w:style>
  <w:style w:type="paragraph" w:customStyle="1" w:styleId="xl39">
    <w:name w:val="xl39"/>
    <w:basedOn w:val="Normal"/>
    <w:uiPriority w:val="99"/>
    <w:rsid w:val="001F18AC"/>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0">
    <w:name w:val="xl40"/>
    <w:basedOn w:val="Normal"/>
    <w:uiPriority w:val="99"/>
    <w:rsid w:val="001F18AC"/>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1">
    <w:name w:val="xl41"/>
    <w:basedOn w:val="Normal"/>
    <w:uiPriority w:val="99"/>
    <w:rsid w:val="001F18AC"/>
    <w:pPr>
      <w:spacing w:before="100" w:beforeAutospacing="1" w:after="100" w:afterAutospacing="1"/>
      <w:jc w:val="center"/>
      <w:textAlignment w:val="top"/>
    </w:pPr>
    <w:rPr>
      <w:rFonts w:eastAsia="Arial Unicode MS"/>
    </w:rPr>
  </w:style>
  <w:style w:type="paragraph" w:customStyle="1" w:styleId="xl42">
    <w:name w:val="xl42"/>
    <w:basedOn w:val="Normal"/>
    <w:uiPriority w:val="99"/>
    <w:rsid w:val="001F18AC"/>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3">
    <w:name w:val="xl43"/>
    <w:basedOn w:val="Normal"/>
    <w:uiPriority w:val="99"/>
    <w:rsid w:val="001F18AC"/>
    <w:pPr>
      <w:pBdr>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4">
    <w:name w:val="xl44"/>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5">
    <w:name w:val="xl45"/>
    <w:basedOn w:val="Normal"/>
    <w:uiPriority w:val="99"/>
    <w:rsid w:val="001F18A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46">
    <w:name w:val="xl46"/>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7">
    <w:name w:val="xl47"/>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49">
    <w:name w:val="xl49"/>
    <w:basedOn w:val="Normal"/>
    <w:uiPriority w:val="99"/>
    <w:rsid w:val="001F18AC"/>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50">
    <w:name w:val="xl50"/>
    <w:basedOn w:val="Normal"/>
    <w:uiPriority w:val="99"/>
    <w:rsid w:val="001F18AC"/>
    <w:pPr>
      <w:pBdr>
        <w:top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51">
    <w:name w:val="xl51"/>
    <w:basedOn w:val="Normal"/>
    <w:uiPriority w:val="99"/>
    <w:rsid w:val="001F18AC"/>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b/>
      <w:bCs/>
    </w:rPr>
  </w:style>
  <w:style w:type="paragraph" w:customStyle="1" w:styleId="xl52">
    <w:name w:val="xl52"/>
    <w:basedOn w:val="Normal"/>
    <w:uiPriority w:val="99"/>
    <w:rsid w:val="001F18AC"/>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b/>
      <w:bCs/>
    </w:rPr>
  </w:style>
  <w:style w:type="paragraph" w:customStyle="1" w:styleId="xl53">
    <w:name w:val="xl53"/>
    <w:basedOn w:val="Normal"/>
    <w:uiPriority w:val="99"/>
    <w:rsid w:val="001F18A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top"/>
    </w:pPr>
    <w:rPr>
      <w:rFonts w:eastAsia="Arial Unicode MS"/>
      <w:b/>
      <w:bCs/>
    </w:rPr>
  </w:style>
  <w:style w:type="paragraph" w:customStyle="1" w:styleId="xl54">
    <w:name w:val="xl54"/>
    <w:basedOn w:val="Normal"/>
    <w:uiPriority w:val="99"/>
    <w:rsid w:val="001F18AC"/>
    <w:pPr>
      <w:pBdr>
        <w:left w:val="single" w:sz="4" w:space="0" w:color="auto"/>
        <w:right w:val="single" w:sz="4" w:space="0" w:color="auto"/>
      </w:pBdr>
      <w:shd w:val="clear" w:color="auto" w:fill="FF0000"/>
      <w:spacing w:before="100" w:beforeAutospacing="1" w:after="100" w:afterAutospacing="1"/>
      <w:jc w:val="center"/>
      <w:textAlignment w:val="top"/>
    </w:pPr>
    <w:rPr>
      <w:rFonts w:eastAsia="Arial Unicode MS"/>
      <w:b/>
      <w:bCs/>
    </w:rPr>
  </w:style>
  <w:style w:type="paragraph" w:customStyle="1" w:styleId="xl55">
    <w:name w:val="xl55"/>
    <w:basedOn w:val="Normal"/>
    <w:uiPriority w:val="99"/>
    <w:rsid w:val="001F18AC"/>
    <w:pPr>
      <w:pBdr>
        <w:left w:val="single" w:sz="4" w:space="0" w:color="auto"/>
        <w:right w:val="single" w:sz="4" w:space="0" w:color="auto"/>
      </w:pBdr>
      <w:shd w:val="clear" w:color="auto" w:fill="FF9900"/>
      <w:spacing w:before="100" w:beforeAutospacing="1" w:after="100" w:afterAutospacing="1"/>
      <w:jc w:val="center"/>
      <w:textAlignment w:val="top"/>
    </w:pPr>
    <w:rPr>
      <w:rFonts w:eastAsia="Arial Unicode MS"/>
      <w:b/>
      <w:bCs/>
    </w:rPr>
  </w:style>
  <w:style w:type="paragraph" w:customStyle="1" w:styleId="xl56">
    <w:name w:val="xl56"/>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57">
    <w:name w:val="xl57"/>
    <w:basedOn w:val="Normal"/>
    <w:uiPriority w:val="99"/>
    <w:rsid w:val="001F18AC"/>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eastAsia="Arial Unicode MS"/>
      <w:b/>
      <w:bCs/>
    </w:rPr>
  </w:style>
  <w:style w:type="paragraph" w:customStyle="1" w:styleId="xl58">
    <w:name w:val="xl58"/>
    <w:basedOn w:val="Normal"/>
    <w:uiPriority w:val="99"/>
    <w:rsid w:val="001F18AC"/>
    <w:pPr>
      <w:spacing w:before="100" w:beforeAutospacing="1" w:after="100" w:afterAutospacing="1"/>
      <w:jc w:val="center"/>
      <w:textAlignment w:val="top"/>
    </w:pPr>
    <w:rPr>
      <w:rFonts w:eastAsia="Arial Unicode MS"/>
      <w:b/>
      <w:bCs/>
    </w:rPr>
  </w:style>
  <w:style w:type="paragraph" w:customStyle="1" w:styleId="xl59">
    <w:name w:val="xl59"/>
    <w:basedOn w:val="Normal"/>
    <w:uiPriority w:val="99"/>
    <w:rsid w:val="001F18A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60">
    <w:name w:val="xl60"/>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1">
    <w:name w:val="xl61"/>
    <w:basedOn w:val="Normal"/>
    <w:uiPriority w:val="99"/>
    <w:rsid w:val="001F18AC"/>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b/>
      <w:bCs/>
    </w:rPr>
  </w:style>
  <w:style w:type="paragraph" w:customStyle="1" w:styleId="xl67">
    <w:name w:val="xl67"/>
    <w:basedOn w:val="Normal"/>
    <w:uiPriority w:val="99"/>
    <w:rsid w:val="001F18AC"/>
    <w:pPr>
      <w:spacing w:before="100" w:beforeAutospacing="1" w:after="100" w:afterAutospacing="1"/>
      <w:jc w:val="center"/>
    </w:pPr>
    <w:rPr>
      <w:rFonts w:eastAsia="Arial Unicode MS"/>
      <w:b/>
      <w:bCs/>
    </w:rPr>
  </w:style>
  <w:style w:type="paragraph" w:customStyle="1" w:styleId="xl68">
    <w:name w:val="xl68"/>
    <w:basedOn w:val="Normal"/>
    <w:uiPriority w:val="99"/>
    <w:rsid w:val="001F18AC"/>
    <w:pPr>
      <w:pBdr>
        <w:top w:val="single" w:sz="4" w:space="0" w:color="auto"/>
        <w:left w:val="single" w:sz="4" w:space="0" w:color="auto"/>
      </w:pBdr>
      <w:spacing w:before="100" w:beforeAutospacing="1" w:after="100" w:afterAutospacing="1"/>
    </w:pPr>
    <w:rPr>
      <w:rFonts w:eastAsia="Arial Unicode MS"/>
      <w:b/>
      <w:bCs/>
      <w:sz w:val="32"/>
      <w:szCs w:val="32"/>
    </w:rPr>
  </w:style>
  <w:style w:type="paragraph" w:customStyle="1" w:styleId="xl69">
    <w:name w:val="xl69"/>
    <w:basedOn w:val="Normal"/>
    <w:uiPriority w:val="99"/>
    <w:rsid w:val="001F18AC"/>
    <w:pPr>
      <w:pBdr>
        <w:top w:val="single" w:sz="4" w:space="0" w:color="auto"/>
      </w:pBdr>
      <w:spacing w:before="100" w:beforeAutospacing="1" w:after="100" w:afterAutospacing="1"/>
      <w:jc w:val="center"/>
    </w:pPr>
    <w:rPr>
      <w:rFonts w:eastAsia="Arial Unicode MS"/>
      <w:b/>
      <w:bCs/>
    </w:rPr>
  </w:style>
  <w:style w:type="paragraph" w:customStyle="1" w:styleId="xl70">
    <w:name w:val="xl70"/>
    <w:basedOn w:val="Normal"/>
    <w:uiPriority w:val="99"/>
    <w:rsid w:val="001F18AC"/>
    <w:pPr>
      <w:pBdr>
        <w:lef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71">
    <w:name w:val="xl71"/>
    <w:basedOn w:val="Normal"/>
    <w:uiPriority w:val="99"/>
    <w:rsid w:val="001F18AC"/>
    <w:pPr>
      <w:spacing w:before="100" w:beforeAutospacing="1" w:after="100" w:afterAutospacing="1"/>
      <w:jc w:val="center"/>
      <w:textAlignment w:val="top"/>
    </w:pPr>
    <w:rPr>
      <w:rFonts w:eastAsia="Arial Unicode MS"/>
      <w:b/>
      <w:bCs/>
    </w:rPr>
  </w:style>
  <w:style w:type="paragraph" w:customStyle="1" w:styleId="xl72">
    <w:name w:val="xl72"/>
    <w:basedOn w:val="Normal"/>
    <w:uiPriority w:val="99"/>
    <w:rsid w:val="001F18AC"/>
    <w:pPr>
      <w:spacing w:before="100" w:beforeAutospacing="1" w:after="100" w:afterAutospacing="1"/>
      <w:jc w:val="center"/>
    </w:pPr>
    <w:rPr>
      <w:rFonts w:eastAsia="Arial Unicode MS"/>
    </w:rPr>
  </w:style>
  <w:style w:type="paragraph" w:customStyle="1" w:styleId="xl62">
    <w:name w:val="xl62"/>
    <w:basedOn w:val="Normal"/>
    <w:uiPriority w:val="99"/>
    <w:rsid w:val="001F18AC"/>
    <w:pPr>
      <w:spacing w:before="100" w:beforeAutospacing="1" w:after="100" w:afterAutospacing="1"/>
      <w:jc w:val="center"/>
      <w:textAlignment w:val="top"/>
    </w:pPr>
    <w:rPr>
      <w:rFonts w:eastAsia="Arial Unicode MS"/>
      <w:b/>
      <w:bCs/>
    </w:rPr>
  </w:style>
  <w:style w:type="paragraph" w:customStyle="1" w:styleId="xl63">
    <w:name w:val="xl63"/>
    <w:basedOn w:val="Normal"/>
    <w:uiPriority w:val="99"/>
    <w:rsid w:val="001F18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64">
    <w:name w:val="xl64"/>
    <w:basedOn w:val="Normal"/>
    <w:uiPriority w:val="99"/>
    <w:rsid w:val="001F18AC"/>
    <w:pPr>
      <w:spacing w:before="100" w:beforeAutospacing="1" w:after="100" w:afterAutospacing="1"/>
      <w:jc w:val="center"/>
      <w:textAlignment w:val="top"/>
    </w:pPr>
    <w:rPr>
      <w:rFonts w:eastAsia="Arial Unicode MS"/>
    </w:rPr>
  </w:style>
  <w:style w:type="paragraph" w:customStyle="1" w:styleId="xl65">
    <w:name w:val="xl65"/>
    <w:basedOn w:val="Normal"/>
    <w:uiPriority w:val="99"/>
    <w:rsid w:val="001F18AC"/>
    <w:pPr>
      <w:pBdr>
        <w:left w:val="single" w:sz="4" w:space="0" w:color="auto"/>
        <w:bottom w:val="single" w:sz="4" w:space="0" w:color="auto"/>
        <w:right w:val="single" w:sz="4" w:space="0" w:color="auto"/>
      </w:pBdr>
      <w:shd w:val="clear" w:color="auto" w:fill="FF9900"/>
      <w:spacing w:before="100" w:beforeAutospacing="1" w:after="100" w:afterAutospacing="1"/>
      <w:jc w:val="center"/>
      <w:textAlignment w:val="top"/>
    </w:pPr>
    <w:rPr>
      <w:rFonts w:eastAsia="Arial Unicode MS"/>
      <w:b/>
      <w:bCs/>
    </w:rPr>
  </w:style>
  <w:style w:type="paragraph" w:customStyle="1" w:styleId="xl66">
    <w:name w:val="xl66"/>
    <w:basedOn w:val="Normal"/>
    <w:uiPriority w:val="99"/>
    <w:rsid w:val="001F18AC"/>
    <w:pPr>
      <w:pBdr>
        <w:left w:val="single" w:sz="4" w:space="0" w:color="auto"/>
        <w:right w:val="single" w:sz="4" w:space="0" w:color="auto"/>
      </w:pBdr>
      <w:spacing w:before="100" w:beforeAutospacing="1" w:after="100" w:afterAutospacing="1"/>
      <w:textAlignment w:val="top"/>
    </w:pPr>
    <w:rPr>
      <w:rFonts w:eastAsia="Arial Unicode MS"/>
      <w:b/>
      <w:bCs/>
    </w:rPr>
  </w:style>
  <w:style w:type="character" w:styleId="FollowedHyperlink">
    <w:name w:val="FollowedHyperlink"/>
    <w:basedOn w:val="DefaultParagraphFont"/>
    <w:uiPriority w:val="99"/>
    <w:rsid w:val="001F18AC"/>
    <w:rPr>
      <w:rFonts w:ascii="Arial" w:hAnsi="Arial" w:cs="Arial"/>
      <w:color w:val="800080"/>
      <w:sz w:val="24"/>
      <w:szCs w:val="24"/>
      <w:u w:val="single"/>
      <w:lang w:val="en-GB" w:eastAsia="en-US"/>
    </w:rPr>
  </w:style>
  <w:style w:type="character" w:customStyle="1" w:styleId="WW8Num5z0">
    <w:name w:val="WW8Num5z0"/>
    <w:uiPriority w:val="99"/>
    <w:rsid w:val="001F18AC"/>
    <w:rPr>
      <w:rFonts w:ascii="Wingdings" w:hAnsi="Wingdings" w:cs="Wingdings"/>
    </w:rPr>
  </w:style>
  <w:style w:type="character" w:customStyle="1" w:styleId="WW8Num4z0">
    <w:name w:val="WW8Num4z0"/>
    <w:uiPriority w:val="99"/>
    <w:rsid w:val="001F18AC"/>
    <w:rPr>
      <w:rFonts w:ascii="Symbol" w:hAnsi="Symbol" w:cs="Symbol"/>
    </w:rPr>
  </w:style>
  <w:style w:type="paragraph" w:styleId="List">
    <w:name w:val="List"/>
    <w:basedOn w:val="BodyText"/>
    <w:uiPriority w:val="99"/>
    <w:rsid w:val="001F18AC"/>
    <w:pPr>
      <w:suppressAutoHyphens/>
      <w:spacing w:after="120"/>
    </w:pPr>
    <w:rPr>
      <w:i w:val="0"/>
      <w:iCs w:val="0"/>
      <w:lang w:eastAsia="ar-SA"/>
    </w:rPr>
  </w:style>
  <w:style w:type="paragraph" w:styleId="Title">
    <w:name w:val="Title"/>
    <w:basedOn w:val="Normal"/>
    <w:link w:val="TitleChar"/>
    <w:uiPriority w:val="99"/>
    <w:qFormat/>
    <w:rsid w:val="001F18AC"/>
    <w:pPr>
      <w:suppressAutoHyphens/>
      <w:jc w:val="center"/>
    </w:pPr>
    <w:rPr>
      <w:b/>
      <w:bCs/>
      <w:sz w:val="28"/>
      <w:szCs w:val="28"/>
      <w:u w:val="single"/>
      <w:lang w:eastAsia="ar-SA"/>
    </w:rPr>
  </w:style>
  <w:style w:type="character" w:customStyle="1" w:styleId="TitleChar">
    <w:name w:val="Title Char"/>
    <w:basedOn w:val="DefaultParagraphFont"/>
    <w:link w:val="Title"/>
    <w:uiPriority w:val="99"/>
    <w:locked/>
    <w:rsid w:val="00B41DE7"/>
    <w:rPr>
      <w:rFonts w:ascii="Cambria" w:hAnsi="Cambria" w:cs="Cambria"/>
      <w:b/>
      <w:bCs/>
      <w:kern w:val="28"/>
      <w:sz w:val="32"/>
      <w:szCs w:val="32"/>
      <w:lang w:val="en-GB"/>
    </w:rPr>
  </w:style>
  <w:style w:type="character" w:customStyle="1" w:styleId="WW8Num1z0">
    <w:name w:val="WW8Num1z0"/>
    <w:uiPriority w:val="99"/>
    <w:rsid w:val="001F18AC"/>
    <w:rPr>
      <w:rFonts w:ascii="Symbol" w:hAnsi="Symbol" w:cs="Symbol"/>
    </w:rPr>
  </w:style>
  <w:style w:type="paragraph" w:styleId="PlainText">
    <w:name w:val="Plain Text"/>
    <w:basedOn w:val="Normal"/>
    <w:link w:val="PlainTextChar"/>
    <w:uiPriority w:val="99"/>
    <w:semiHidden/>
    <w:rsid w:val="00464EC7"/>
    <w:rPr>
      <w:sz w:val="21"/>
      <w:szCs w:val="21"/>
      <w:lang w:eastAsia="en-GB"/>
    </w:rPr>
  </w:style>
  <w:style w:type="character" w:customStyle="1" w:styleId="PlainTextChar1">
    <w:name w:val="Plain Text Char1"/>
    <w:basedOn w:val="DefaultParagraphFont"/>
    <w:link w:val="PlainText"/>
    <w:uiPriority w:val="99"/>
    <w:semiHidden/>
    <w:locked/>
    <w:rsid w:val="00B41DE7"/>
    <w:rPr>
      <w:rFonts w:ascii="Courier New" w:hAnsi="Courier New" w:cs="Courier New"/>
      <w:sz w:val="20"/>
      <w:szCs w:val="20"/>
      <w:lang w:val="en-GB"/>
    </w:rPr>
  </w:style>
  <w:style w:type="table" w:styleId="TableGrid">
    <w:name w:val="Table Grid"/>
    <w:basedOn w:val="TableNormal"/>
    <w:uiPriority w:val="99"/>
    <w:rsid w:val="00B40C7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uiPriority w:val="99"/>
    <w:locked/>
    <w:rsid w:val="00ED55EF"/>
    <w:pPr>
      <w:spacing w:after="160" w:line="240" w:lineRule="exact"/>
    </w:pPr>
  </w:style>
  <w:style w:type="paragraph" w:customStyle="1" w:styleId="CharCharCharChar2">
    <w:name w:val="Char Char Char Char2"/>
    <w:basedOn w:val="Normal"/>
    <w:uiPriority w:val="99"/>
    <w:locked/>
    <w:rsid w:val="000A55D4"/>
    <w:pPr>
      <w:spacing w:after="160" w:line="240" w:lineRule="exact"/>
    </w:pPr>
    <w:rPr>
      <w:rFonts w:ascii="Verdana" w:eastAsia="MS ??" w:hAnsi="Verdana" w:cs="Verdana"/>
      <w:sz w:val="20"/>
      <w:szCs w:val="20"/>
      <w:lang w:val="en-US"/>
    </w:rPr>
  </w:style>
  <w:style w:type="paragraph" w:styleId="ListParagraph">
    <w:name w:val="List Paragraph"/>
    <w:basedOn w:val="Normal"/>
    <w:uiPriority w:val="99"/>
    <w:qFormat/>
    <w:rsid w:val="009870D0"/>
    <w:pPr>
      <w:ind w:left="720"/>
    </w:pPr>
  </w:style>
  <w:style w:type="paragraph" w:customStyle="1" w:styleId="CharCharCharChar">
    <w:name w:val="Char Char Char Char"/>
    <w:basedOn w:val="Normal"/>
    <w:uiPriority w:val="99"/>
    <w:locked/>
    <w:rsid w:val="00AC7BFC"/>
    <w:pPr>
      <w:spacing w:after="160" w:line="240" w:lineRule="exact"/>
    </w:pPr>
    <w:rPr>
      <w:rFonts w:ascii="Verdana" w:hAnsi="Verdana" w:cs="Verdana"/>
      <w:sz w:val="20"/>
      <w:szCs w:val="20"/>
      <w:lang w:val="en-US"/>
    </w:rPr>
  </w:style>
  <w:style w:type="paragraph" w:styleId="Revision">
    <w:name w:val="Revision"/>
    <w:hidden/>
    <w:uiPriority w:val="99"/>
    <w:semiHidden/>
    <w:rsid w:val="00554CAB"/>
    <w:rPr>
      <w:rFonts w:ascii="Arial" w:hAnsi="Arial" w:cs="Arial"/>
      <w:sz w:val="24"/>
      <w:szCs w:val="24"/>
      <w:lang w:val="en-GB"/>
    </w:rPr>
  </w:style>
  <w:style w:type="paragraph" w:customStyle="1" w:styleId="CharCharCharChar1">
    <w:name w:val="Char Char Char Char1"/>
    <w:basedOn w:val="Normal"/>
    <w:uiPriority w:val="99"/>
    <w:locked/>
    <w:rsid w:val="00484862"/>
    <w:pPr>
      <w:spacing w:after="160" w:line="240" w:lineRule="exact"/>
    </w:pPr>
    <w:rPr>
      <w:rFonts w:ascii="Verdana" w:hAnsi="Verdana" w:cs="Verdana"/>
      <w:sz w:val="20"/>
      <w:szCs w:val="20"/>
      <w:lang w:val="en-US"/>
    </w:rPr>
  </w:style>
  <w:style w:type="paragraph" w:customStyle="1" w:styleId="CharCharCharChar3">
    <w:name w:val="Char Char Char Char3"/>
    <w:basedOn w:val="Normal"/>
    <w:link w:val="DefaultParagraphFont"/>
    <w:uiPriority w:val="99"/>
    <w:locked/>
    <w:rsid w:val="00E445DA"/>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62845634">
      <w:marLeft w:val="0"/>
      <w:marRight w:val="0"/>
      <w:marTop w:val="0"/>
      <w:marBottom w:val="0"/>
      <w:divBdr>
        <w:top w:val="none" w:sz="0" w:space="0" w:color="auto"/>
        <w:left w:val="none" w:sz="0" w:space="0" w:color="auto"/>
        <w:bottom w:val="none" w:sz="0" w:space="0" w:color="auto"/>
        <w:right w:val="none" w:sz="0" w:space="0" w:color="auto"/>
      </w:divBdr>
    </w:div>
    <w:div w:id="462845635">
      <w:marLeft w:val="0"/>
      <w:marRight w:val="0"/>
      <w:marTop w:val="0"/>
      <w:marBottom w:val="0"/>
      <w:divBdr>
        <w:top w:val="none" w:sz="0" w:space="0" w:color="auto"/>
        <w:left w:val="none" w:sz="0" w:space="0" w:color="auto"/>
        <w:bottom w:val="none" w:sz="0" w:space="0" w:color="auto"/>
        <w:right w:val="none" w:sz="0" w:space="0" w:color="auto"/>
      </w:divBdr>
    </w:div>
    <w:div w:id="462845636">
      <w:marLeft w:val="0"/>
      <w:marRight w:val="0"/>
      <w:marTop w:val="0"/>
      <w:marBottom w:val="0"/>
      <w:divBdr>
        <w:top w:val="none" w:sz="0" w:space="0" w:color="auto"/>
        <w:left w:val="none" w:sz="0" w:space="0" w:color="auto"/>
        <w:bottom w:val="none" w:sz="0" w:space="0" w:color="auto"/>
        <w:right w:val="none" w:sz="0" w:space="0" w:color="auto"/>
      </w:divBdr>
    </w:div>
    <w:div w:id="462845637">
      <w:marLeft w:val="0"/>
      <w:marRight w:val="0"/>
      <w:marTop w:val="0"/>
      <w:marBottom w:val="0"/>
      <w:divBdr>
        <w:top w:val="none" w:sz="0" w:space="0" w:color="auto"/>
        <w:left w:val="none" w:sz="0" w:space="0" w:color="auto"/>
        <w:bottom w:val="none" w:sz="0" w:space="0" w:color="auto"/>
        <w:right w:val="none" w:sz="0" w:space="0" w:color="auto"/>
      </w:divBdr>
    </w:div>
    <w:div w:id="462845638">
      <w:marLeft w:val="0"/>
      <w:marRight w:val="0"/>
      <w:marTop w:val="0"/>
      <w:marBottom w:val="0"/>
      <w:divBdr>
        <w:top w:val="none" w:sz="0" w:space="0" w:color="auto"/>
        <w:left w:val="none" w:sz="0" w:space="0" w:color="auto"/>
        <w:bottom w:val="none" w:sz="0" w:space="0" w:color="auto"/>
        <w:right w:val="none" w:sz="0" w:space="0" w:color="auto"/>
      </w:divBdr>
    </w:div>
    <w:div w:id="462845639">
      <w:marLeft w:val="0"/>
      <w:marRight w:val="0"/>
      <w:marTop w:val="0"/>
      <w:marBottom w:val="0"/>
      <w:divBdr>
        <w:top w:val="none" w:sz="0" w:space="0" w:color="auto"/>
        <w:left w:val="none" w:sz="0" w:space="0" w:color="auto"/>
        <w:bottom w:val="none" w:sz="0" w:space="0" w:color="auto"/>
        <w:right w:val="none" w:sz="0" w:space="0" w:color="auto"/>
      </w:divBdr>
    </w:div>
    <w:div w:id="462845640">
      <w:marLeft w:val="0"/>
      <w:marRight w:val="0"/>
      <w:marTop w:val="0"/>
      <w:marBottom w:val="0"/>
      <w:divBdr>
        <w:top w:val="none" w:sz="0" w:space="0" w:color="auto"/>
        <w:left w:val="none" w:sz="0" w:space="0" w:color="auto"/>
        <w:bottom w:val="none" w:sz="0" w:space="0" w:color="auto"/>
        <w:right w:val="none" w:sz="0" w:space="0" w:color="auto"/>
      </w:divBdr>
    </w:div>
    <w:div w:id="462845641">
      <w:marLeft w:val="0"/>
      <w:marRight w:val="0"/>
      <w:marTop w:val="0"/>
      <w:marBottom w:val="0"/>
      <w:divBdr>
        <w:top w:val="none" w:sz="0" w:space="0" w:color="auto"/>
        <w:left w:val="none" w:sz="0" w:space="0" w:color="auto"/>
        <w:bottom w:val="none" w:sz="0" w:space="0" w:color="auto"/>
        <w:right w:val="none" w:sz="0" w:space="0" w:color="auto"/>
      </w:divBdr>
    </w:div>
    <w:div w:id="462845642">
      <w:marLeft w:val="0"/>
      <w:marRight w:val="0"/>
      <w:marTop w:val="0"/>
      <w:marBottom w:val="0"/>
      <w:divBdr>
        <w:top w:val="none" w:sz="0" w:space="0" w:color="auto"/>
        <w:left w:val="none" w:sz="0" w:space="0" w:color="auto"/>
        <w:bottom w:val="none" w:sz="0" w:space="0" w:color="auto"/>
        <w:right w:val="none" w:sz="0" w:space="0" w:color="auto"/>
      </w:divBdr>
    </w:div>
    <w:div w:id="462845643">
      <w:marLeft w:val="0"/>
      <w:marRight w:val="0"/>
      <w:marTop w:val="0"/>
      <w:marBottom w:val="0"/>
      <w:divBdr>
        <w:top w:val="none" w:sz="0" w:space="0" w:color="auto"/>
        <w:left w:val="none" w:sz="0" w:space="0" w:color="auto"/>
        <w:bottom w:val="none" w:sz="0" w:space="0" w:color="auto"/>
        <w:right w:val="none" w:sz="0" w:space="0" w:color="auto"/>
      </w:divBdr>
    </w:div>
    <w:div w:id="462845644">
      <w:marLeft w:val="0"/>
      <w:marRight w:val="0"/>
      <w:marTop w:val="0"/>
      <w:marBottom w:val="0"/>
      <w:divBdr>
        <w:top w:val="none" w:sz="0" w:space="0" w:color="auto"/>
        <w:left w:val="none" w:sz="0" w:space="0" w:color="auto"/>
        <w:bottom w:val="none" w:sz="0" w:space="0" w:color="auto"/>
        <w:right w:val="none" w:sz="0" w:space="0" w:color="auto"/>
      </w:divBdr>
    </w:div>
    <w:div w:id="462845645">
      <w:marLeft w:val="0"/>
      <w:marRight w:val="0"/>
      <w:marTop w:val="0"/>
      <w:marBottom w:val="0"/>
      <w:divBdr>
        <w:top w:val="none" w:sz="0" w:space="0" w:color="auto"/>
        <w:left w:val="none" w:sz="0" w:space="0" w:color="auto"/>
        <w:bottom w:val="none" w:sz="0" w:space="0" w:color="auto"/>
        <w:right w:val="none" w:sz="0" w:space="0" w:color="auto"/>
      </w:divBdr>
    </w:div>
    <w:div w:id="462845646">
      <w:marLeft w:val="0"/>
      <w:marRight w:val="0"/>
      <w:marTop w:val="0"/>
      <w:marBottom w:val="0"/>
      <w:divBdr>
        <w:top w:val="none" w:sz="0" w:space="0" w:color="auto"/>
        <w:left w:val="none" w:sz="0" w:space="0" w:color="auto"/>
        <w:bottom w:val="none" w:sz="0" w:space="0" w:color="auto"/>
        <w:right w:val="none" w:sz="0" w:space="0" w:color="auto"/>
      </w:divBdr>
    </w:div>
    <w:div w:id="462845647">
      <w:marLeft w:val="0"/>
      <w:marRight w:val="0"/>
      <w:marTop w:val="0"/>
      <w:marBottom w:val="0"/>
      <w:divBdr>
        <w:top w:val="none" w:sz="0" w:space="0" w:color="auto"/>
        <w:left w:val="none" w:sz="0" w:space="0" w:color="auto"/>
        <w:bottom w:val="none" w:sz="0" w:space="0" w:color="auto"/>
        <w:right w:val="none" w:sz="0" w:space="0" w:color="auto"/>
      </w:divBdr>
    </w:div>
    <w:div w:id="462845648">
      <w:marLeft w:val="0"/>
      <w:marRight w:val="0"/>
      <w:marTop w:val="0"/>
      <w:marBottom w:val="0"/>
      <w:divBdr>
        <w:top w:val="none" w:sz="0" w:space="0" w:color="auto"/>
        <w:left w:val="none" w:sz="0" w:space="0" w:color="auto"/>
        <w:bottom w:val="none" w:sz="0" w:space="0" w:color="auto"/>
        <w:right w:val="none" w:sz="0" w:space="0" w:color="auto"/>
      </w:divBdr>
    </w:div>
    <w:div w:id="462845649">
      <w:marLeft w:val="0"/>
      <w:marRight w:val="0"/>
      <w:marTop w:val="0"/>
      <w:marBottom w:val="0"/>
      <w:divBdr>
        <w:top w:val="none" w:sz="0" w:space="0" w:color="auto"/>
        <w:left w:val="none" w:sz="0" w:space="0" w:color="auto"/>
        <w:bottom w:val="none" w:sz="0" w:space="0" w:color="auto"/>
        <w:right w:val="none" w:sz="0" w:space="0" w:color="auto"/>
      </w:divBdr>
    </w:div>
    <w:div w:id="462845650">
      <w:marLeft w:val="0"/>
      <w:marRight w:val="0"/>
      <w:marTop w:val="0"/>
      <w:marBottom w:val="0"/>
      <w:divBdr>
        <w:top w:val="none" w:sz="0" w:space="0" w:color="auto"/>
        <w:left w:val="none" w:sz="0" w:space="0" w:color="auto"/>
        <w:bottom w:val="none" w:sz="0" w:space="0" w:color="auto"/>
        <w:right w:val="none" w:sz="0" w:space="0" w:color="auto"/>
      </w:divBdr>
    </w:div>
    <w:div w:id="462845651">
      <w:marLeft w:val="0"/>
      <w:marRight w:val="0"/>
      <w:marTop w:val="0"/>
      <w:marBottom w:val="0"/>
      <w:divBdr>
        <w:top w:val="none" w:sz="0" w:space="0" w:color="auto"/>
        <w:left w:val="none" w:sz="0" w:space="0" w:color="auto"/>
        <w:bottom w:val="none" w:sz="0" w:space="0" w:color="auto"/>
        <w:right w:val="none" w:sz="0" w:space="0" w:color="auto"/>
      </w:divBdr>
    </w:div>
    <w:div w:id="462845652">
      <w:marLeft w:val="0"/>
      <w:marRight w:val="0"/>
      <w:marTop w:val="0"/>
      <w:marBottom w:val="0"/>
      <w:divBdr>
        <w:top w:val="none" w:sz="0" w:space="0" w:color="auto"/>
        <w:left w:val="none" w:sz="0" w:space="0" w:color="auto"/>
        <w:bottom w:val="none" w:sz="0" w:space="0" w:color="auto"/>
        <w:right w:val="none" w:sz="0" w:space="0" w:color="auto"/>
      </w:divBdr>
    </w:div>
    <w:div w:id="462845653">
      <w:marLeft w:val="0"/>
      <w:marRight w:val="0"/>
      <w:marTop w:val="0"/>
      <w:marBottom w:val="0"/>
      <w:divBdr>
        <w:top w:val="none" w:sz="0" w:space="0" w:color="auto"/>
        <w:left w:val="none" w:sz="0" w:space="0" w:color="auto"/>
        <w:bottom w:val="none" w:sz="0" w:space="0" w:color="auto"/>
        <w:right w:val="none" w:sz="0" w:space="0" w:color="auto"/>
      </w:divBdr>
    </w:div>
    <w:div w:id="462845654">
      <w:marLeft w:val="0"/>
      <w:marRight w:val="0"/>
      <w:marTop w:val="0"/>
      <w:marBottom w:val="0"/>
      <w:divBdr>
        <w:top w:val="none" w:sz="0" w:space="0" w:color="auto"/>
        <w:left w:val="none" w:sz="0" w:space="0" w:color="auto"/>
        <w:bottom w:val="none" w:sz="0" w:space="0" w:color="auto"/>
        <w:right w:val="none" w:sz="0" w:space="0" w:color="auto"/>
      </w:divBdr>
    </w:div>
    <w:div w:id="462845655">
      <w:marLeft w:val="0"/>
      <w:marRight w:val="0"/>
      <w:marTop w:val="0"/>
      <w:marBottom w:val="0"/>
      <w:divBdr>
        <w:top w:val="none" w:sz="0" w:space="0" w:color="auto"/>
        <w:left w:val="none" w:sz="0" w:space="0" w:color="auto"/>
        <w:bottom w:val="none" w:sz="0" w:space="0" w:color="auto"/>
        <w:right w:val="none" w:sz="0" w:space="0" w:color="auto"/>
      </w:divBdr>
    </w:div>
    <w:div w:id="462845656">
      <w:marLeft w:val="0"/>
      <w:marRight w:val="0"/>
      <w:marTop w:val="0"/>
      <w:marBottom w:val="0"/>
      <w:divBdr>
        <w:top w:val="none" w:sz="0" w:space="0" w:color="auto"/>
        <w:left w:val="none" w:sz="0" w:space="0" w:color="auto"/>
        <w:bottom w:val="none" w:sz="0" w:space="0" w:color="auto"/>
        <w:right w:val="none" w:sz="0" w:space="0" w:color="auto"/>
      </w:divBdr>
    </w:div>
    <w:div w:id="462845657">
      <w:marLeft w:val="0"/>
      <w:marRight w:val="0"/>
      <w:marTop w:val="0"/>
      <w:marBottom w:val="0"/>
      <w:divBdr>
        <w:top w:val="none" w:sz="0" w:space="0" w:color="auto"/>
        <w:left w:val="none" w:sz="0" w:space="0" w:color="auto"/>
        <w:bottom w:val="none" w:sz="0" w:space="0" w:color="auto"/>
        <w:right w:val="none" w:sz="0" w:space="0" w:color="auto"/>
      </w:divBdr>
    </w:div>
    <w:div w:id="462845658">
      <w:marLeft w:val="0"/>
      <w:marRight w:val="0"/>
      <w:marTop w:val="0"/>
      <w:marBottom w:val="0"/>
      <w:divBdr>
        <w:top w:val="none" w:sz="0" w:space="0" w:color="auto"/>
        <w:left w:val="none" w:sz="0" w:space="0" w:color="auto"/>
        <w:bottom w:val="none" w:sz="0" w:space="0" w:color="auto"/>
        <w:right w:val="none" w:sz="0" w:space="0" w:color="auto"/>
      </w:divBdr>
    </w:div>
    <w:div w:id="462845659">
      <w:marLeft w:val="0"/>
      <w:marRight w:val="0"/>
      <w:marTop w:val="0"/>
      <w:marBottom w:val="0"/>
      <w:divBdr>
        <w:top w:val="none" w:sz="0" w:space="0" w:color="auto"/>
        <w:left w:val="none" w:sz="0" w:space="0" w:color="auto"/>
        <w:bottom w:val="none" w:sz="0" w:space="0" w:color="auto"/>
        <w:right w:val="none" w:sz="0" w:space="0" w:color="auto"/>
      </w:divBdr>
    </w:div>
    <w:div w:id="462845660">
      <w:marLeft w:val="0"/>
      <w:marRight w:val="0"/>
      <w:marTop w:val="0"/>
      <w:marBottom w:val="0"/>
      <w:divBdr>
        <w:top w:val="none" w:sz="0" w:space="0" w:color="auto"/>
        <w:left w:val="none" w:sz="0" w:space="0" w:color="auto"/>
        <w:bottom w:val="none" w:sz="0" w:space="0" w:color="auto"/>
        <w:right w:val="none" w:sz="0" w:space="0" w:color="auto"/>
      </w:divBdr>
    </w:div>
    <w:div w:id="462845661">
      <w:marLeft w:val="0"/>
      <w:marRight w:val="0"/>
      <w:marTop w:val="0"/>
      <w:marBottom w:val="0"/>
      <w:divBdr>
        <w:top w:val="none" w:sz="0" w:space="0" w:color="auto"/>
        <w:left w:val="none" w:sz="0" w:space="0" w:color="auto"/>
        <w:bottom w:val="none" w:sz="0" w:space="0" w:color="auto"/>
        <w:right w:val="none" w:sz="0" w:space="0" w:color="auto"/>
      </w:divBdr>
    </w:div>
    <w:div w:id="462845662">
      <w:marLeft w:val="0"/>
      <w:marRight w:val="0"/>
      <w:marTop w:val="0"/>
      <w:marBottom w:val="0"/>
      <w:divBdr>
        <w:top w:val="none" w:sz="0" w:space="0" w:color="auto"/>
        <w:left w:val="none" w:sz="0" w:space="0" w:color="auto"/>
        <w:bottom w:val="none" w:sz="0" w:space="0" w:color="auto"/>
        <w:right w:val="none" w:sz="0" w:space="0" w:color="auto"/>
      </w:divBdr>
    </w:div>
    <w:div w:id="462845663">
      <w:marLeft w:val="0"/>
      <w:marRight w:val="0"/>
      <w:marTop w:val="0"/>
      <w:marBottom w:val="0"/>
      <w:divBdr>
        <w:top w:val="none" w:sz="0" w:space="0" w:color="auto"/>
        <w:left w:val="none" w:sz="0" w:space="0" w:color="auto"/>
        <w:bottom w:val="none" w:sz="0" w:space="0" w:color="auto"/>
        <w:right w:val="none" w:sz="0" w:space="0" w:color="auto"/>
      </w:divBdr>
    </w:div>
    <w:div w:id="462845664">
      <w:marLeft w:val="0"/>
      <w:marRight w:val="0"/>
      <w:marTop w:val="0"/>
      <w:marBottom w:val="0"/>
      <w:divBdr>
        <w:top w:val="none" w:sz="0" w:space="0" w:color="auto"/>
        <w:left w:val="none" w:sz="0" w:space="0" w:color="auto"/>
        <w:bottom w:val="none" w:sz="0" w:space="0" w:color="auto"/>
        <w:right w:val="none" w:sz="0" w:space="0" w:color="auto"/>
      </w:divBdr>
    </w:div>
    <w:div w:id="462845665">
      <w:marLeft w:val="0"/>
      <w:marRight w:val="0"/>
      <w:marTop w:val="0"/>
      <w:marBottom w:val="0"/>
      <w:divBdr>
        <w:top w:val="none" w:sz="0" w:space="0" w:color="auto"/>
        <w:left w:val="none" w:sz="0" w:space="0" w:color="auto"/>
        <w:bottom w:val="none" w:sz="0" w:space="0" w:color="auto"/>
        <w:right w:val="none" w:sz="0" w:space="0" w:color="auto"/>
      </w:divBdr>
    </w:div>
    <w:div w:id="462845666">
      <w:marLeft w:val="0"/>
      <w:marRight w:val="0"/>
      <w:marTop w:val="0"/>
      <w:marBottom w:val="0"/>
      <w:divBdr>
        <w:top w:val="none" w:sz="0" w:space="0" w:color="auto"/>
        <w:left w:val="none" w:sz="0" w:space="0" w:color="auto"/>
        <w:bottom w:val="none" w:sz="0" w:space="0" w:color="auto"/>
        <w:right w:val="none" w:sz="0" w:space="0" w:color="auto"/>
      </w:divBdr>
    </w:div>
    <w:div w:id="462845667">
      <w:marLeft w:val="0"/>
      <w:marRight w:val="0"/>
      <w:marTop w:val="0"/>
      <w:marBottom w:val="0"/>
      <w:divBdr>
        <w:top w:val="none" w:sz="0" w:space="0" w:color="auto"/>
        <w:left w:val="none" w:sz="0" w:space="0" w:color="auto"/>
        <w:bottom w:val="none" w:sz="0" w:space="0" w:color="auto"/>
        <w:right w:val="none" w:sz="0" w:space="0" w:color="auto"/>
      </w:divBdr>
    </w:div>
    <w:div w:id="462845668">
      <w:marLeft w:val="0"/>
      <w:marRight w:val="0"/>
      <w:marTop w:val="0"/>
      <w:marBottom w:val="0"/>
      <w:divBdr>
        <w:top w:val="none" w:sz="0" w:space="0" w:color="auto"/>
        <w:left w:val="none" w:sz="0" w:space="0" w:color="auto"/>
        <w:bottom w:val="none" w:sz="0" w:space="0" w:color="auto"/>
        <w:right w:val="none" w:sz="0" w:space="0" w:color="auto"/>
      </w:divBdr>
    </w:div>
    <w:div w:id="462845669">
      <w:marLeft w:val="0"/>
      <w:marRight w:val="0"/>
      <w:marTop w:val="0"/>
      <w:marBottom w:val="0"/>
      <w:divBdr>
        <w:top w:val="none" w:sz="0" w:space="0" w:color="auto"/>
        <w:left w:val="none" w:sz="0" w:space="0" w:color="auto"/>
        <w:bottom w:val="none" w:sz="0" w:space="0" w:color="auto"/>
        <w:right w:val="none" w:sz="0" w:space="0" w:color="auto"/>
      </w:divBdr>
    </w:div>
    <w:div w:id="462845670">
      <w:marLeft w:val="0"/>
      <w:marRight w:val="0"/>
      <w:marTop w:val="0"/>
      <w:marBottom w:val="0"/>
      <w:divBdr>
        <w:top w:val="none" w:sz="0" w:space="0" w:color="auto"/>
        <w:left w:val="none" w:sz="0" w:space="0" w:color="auto"/>
        <w:bottom w:val="none" w:sz="0" w:space="0" w:color="auto"/>
        <w:right w:val="none" w:sz="0" w:space="0" w:color="auto"/>
      </w:divBdr>
    </w:div>
    <w:div w:id="462845671">
      <w:marLeft w:val="0"/>
      <w:marRight w:val="0"/>
      <w:marTop w:val="0"/>
      <w:marBottom w:val="0"/>
      <w:divBdr>
        <w:top w:val="none" w:sz="0" w:space="0" w:color="auto"/>
        <w:left w:val="none" w:sz="0" w:space="0" w:color="auto"/>
        <w:bottom w:val="none" w:sz="0" w:space="0" w:color="auto"/>
        <w:right w:val="none" w:sz="0" w:space="0" w:color="auto"/>
      </w:divBdr>
    </w:div>
    <w:div w:id="462845672">
      <w:marLeft w:val="0"/>
      <w:marRight w:val="0"/>
      <w:marTop w:val="0"/>
      <w:marBottom w:val="0"/>
      <w:divBdr>
        <w:top w:val="none" w:sz="0" w:space="0" w:color="auto"/>
        <w:left w:val="none" w:sz="0" w:space="0" w:color="auto"/>
        <w:bottom w:val="none" w:sz="0" w:space="0" w:color="auto"/>
        <w:right w:val="none" w:sz="0" w:space="0" w:color="auto"/>
      </w:divBdr>
    </w:div>
    <w:div w:id="462845673">
      <w:marLeft w:val="0"/>
      <w:marRight w:val="0"/>
      <w:marTop w:val="0"/>
      <w:marBottom w:val="0"/>
      <w:divBdr>
        <w:top w:val="none" w:sz="0" w:space="0" w:color="auto"/>
        <w:left w:val="none" w:sz="0" w:space="0" w:color="auto"/>
        <w:bottom w:val="none" w:sz="0" w:space="0" w:color="auto"/>
        <w:right w:val="none" w:sz="0" w:space="0" w:color="auto"/>
      </w:divBdr>
    </w:div>
    <w:div w:id="462845674">
      <w:marLeft w:val="0"/>
      <w:marRight w:val="0"/>
      <w:marTop w:val="0"/>
      <w:marBottom w:val="0"/>
      <w:divBdr>
        <w:top w:val="none" w:sz="0" w:space="0" w:color="auto"/>
        <w:left w:val="none" w:sz="0" w:space="0" w:color="auto"/>
        <w:bottom w:val="none" w:sz="0" w:space="0" w:color="auto"/>
        <w:right w:val="none" w:sz="0" w:space="0" w:color="auto"/>
      </w:divBdr>
    </w:div>
    <w:div w:id="462845675">
      <w:marLeft w:val="0"/>
      <w:marRight w:val="0"/>
      <w:marTop w:val="0"/>
      <w:marBottom w:val="0"/>
      <w:divBdr>
        <w:top w:val="none" w:sz="0" w:space="0" w:color="auto"/>
        <w:left w:val="none" w:sz="0" w:space="0" w:color="auto"/>
        <w:bottom w:val="none" w:sz="0" w:space="0" w:color="auto"/>
        <w:right w:val="none" w:sz="0" w:space="0" w:color="auto"/>
      </w:divBdr>
    </w:div>
    <w:div w:id="462845676">
      <w:marLeft w:val="0"/>
      <w:marRight w:val="0"/>
      <w:marTop w:val="0"/>
      <w:marBottom w:val="0"/>
      <w:divBdr>
        <w:top w:val="none" w:sz="0" w:space="0" w:color="auto"/>
        <w:left w:val="none" w:sz="0" w:space="0" w:color="auto"/>
        <w:bottom w:val="none" w:sz="0" w:space="0" w:color="auto"/>
        <w:right w:val="none" w:sz="0" w:space="0" w:color="auto"/>
      </w:divBdr>
    </w:div>
    <w:div w:id="462845677">
      <w:marLeft w:val="0"/>
      <w:marRight w:val="0"/>
      <w:marTop w:val="0"/>
      <w:marBottom w:val="0"/>
      <w:divBdr>
        <w:top w:val="none" w:sz="0" w:space="0" w:color="auto"/>
        <w:left w:val="none" w:sz="0" w:space="0" w:color="auto"/>
        <w:bottom w:val="none" w:sz="0" w:space="0" w:color="auto"/>
        <w:right w:val="none" w:sz="0" w:space="0" w:color="auto"/>
      </w:divBdr>
    </w:div>
    <w:div w:id="462845678">
      <w:marLeft w:val="0"/>
      <w:marRight w:val="0"/>
      <w:marTop w:val="0"/>
      <w:marBottom w:val="0"/>
      <w:divBdr>
        <w:top w:val="none" w:sz="0" w:space="0" w:color="auto"/>
        <w:left w:val="none" w:sz="0" w:space="0" w:color="auto"/>
        <w:bottom w:val="none" w:sz="0" w:space="0" w:color="auto"/>
        <w:right w:val="none" w:sz="0" w:space="0" w:color="auto"/>
      </w:divBdr>
    </w:div>
    <w:div w:id="462845679">
      <w:marLeft w:val="0"/>
      <w:marRight w:val="0"/>
      <w:marTop w:val="0"/>
      <w:marBottom w:val="0"/>
      <w:divBdr>
        <w:top w:val="none" w:sz="0" w:space="0" w:color="auto"/>
        <w:left w:val="none" w:sz="0" w:space="0" w:color="auto"/>
        <w:bottom w:val="none" w:sz="0" w:space="0" w:color="auto"/>
        <w:right w:val="none" w:sz="0" w:space="0" w:color="auto"/>
      </w:divBdr>
    </w:div>
    <w:div w:id="462845680">
      <w:marLeft w:val="0"/>
      <w:marRight w:val="0"/>
      <w:marTop w:val="0"/>
      <w:marBottom w:val="0"/>
      <w:divBdr>
        <w:top w:val="none" w:sz="0" w:space="0" w:color="auto"/>
        <w:left w:val="none" w:sz="0" w:space="0" w:color="auto"/>
        <w:bottom w:val="none" w:sz="0" w:space="0" w:color="auto"/>
        <w:right w:val="none" w:sz="0" w:space="0" w:color="auto"/>
      </w:divBdr>
    </w:div>
    <w:div w:id="46284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harrow.gov.uk/www2/documents/g61436/Public%20reports%20pack%20Thursday%2013-Feb-2014%2018.30%20Cabinet.pdf?T=10" TargetMode="Externa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16</Pages>
  <Words>4436</Words>
  <Characters>25287</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DGhelani</cp:lastModifiedBy>
  <cp:revision>11</cp:revision>
  <cp:lastPrinted>2015-05-11T08:31:00Z</cp:lastPrinted>
  <dcterms:created xsi:type="dcterms:W3CDTF">2015-06-04T12:14:00Z</dcterms:created>
  <dcterms:modified xsi:type="dcterms:W3CDTF">2015-06-08T09:54:00Z</dcterms:modified>
</cp:coreProperties>
</file>